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20"/>
        <w:jc w:val="center"/>
        <w:rPr>
          <w:rFonts w:hint="eastAsia" w:ascii="仿宋_GB2312" w:hAnsi="仿宋_GB2312" w:eastAsiaTheme="minorEastAsia"/>
          <w:b/>
          <w:bCs/>
          <w:sz w:val="36"/>
        </w:rPr>
      </w:pPr>
    </w:p>
    <w:p>
      <w:pPr>
        <w:ind w:left="420"/>
        <w:jc w:val="center"/>
        <w:rPr>
          <w:rFonts w:ascii="仿宋_GB2312" w:hAnsi="仿宋_GB2312" w:eastAsia="仿宋_GB2312"/>
          <w:b/>
          <w:bCs/>
          <w:sz w:val="36"/>
        </w:rPr>
      </w:pPr>
    </w:p>
    <w:p>
      <w:pPr>
        <w:ind w:left="420"/>
        <w:jc w:val="center"/>
        <w:rPr>
          <w:rFonts w:ascii="仿宋_GB2312" w:hAnsi="仿宋_GB2312" w:eastAsia="仿宋_GB2312"/>
          <w:b/>
          <w:bCs/>
          <w:sz w:val="36"/>
        </w:rPr>
      </w:pPr>
    </w:p>
    <w:p>
      <w:pPr>
        <w:ind w:left="420"/>
        <w:jc w:val="center"/>
        <w:rPr>
          <w:rFonts w:ascii="仿宋_GB2312" w:hAnsi="仿宋_GB2312" w:eastAsia="仿宋_GB2312"/>
          <w:b/>
          <w:bCs/>
          <w:sz w:val="36"/>
        </w:rPr>
      </w:pPr>
    </w:p>
    <w:p>
      <w:pPr>
        <w:spacing w:line="1200" w:lineRule="exact"/>
        <w:jc w:val="center"/>
        <w:rPr>
          <w:rFonts w:ascii="黑体" w:hAnsi="黑体" w:eastAsia="黑体"/>
          <w:b/>
          <w:bCs/>
          <w:sz w:val="44"/>
          <w:szCs w:val="44"/>
        </w:rPr>
      </w:pPr>
      <w:r>
        <w:rPr>
          <w:rFonts w:hint="eastAsia" w:ascii="黑体" w:hAnsi="黑体" w:eastAsia="黑体"/>
          <w:b/>
          <w:bCs/>
          <w:sz w:val="48"/>
          <w:szCs w:val="48"/>
        </w:rPr>
        <w:t>西北农林科技大学引进人才</w:t>
      </w:r>
    </w:p>
    <w:p>
      <w:pPr>
        <w:spacing w:line="1200" w:lineRule="exact"/>
        <w:jc w:val="center"/>
        <w:rPr>
          <w:rFonts w:ascii="黑体" w:hAnsi="黑体" w:eastAsia="黑体"/>
          <w:b/>
          <w:bCs/>
          <w:sz w:val="44"/>
          <w:szCs w:val="44"/>
        </w:rPr>
      </w:pPr>
      <w:r>
        <w:rPr>
          <w:rFonts w:hint="eastAsia" w:ascii="黑体" w:hAnsi="黑体" w:eastAsia="黑体"/>
          <w:b/>
          <w:bCs/>
          <w:sz w:val="48"/>
          <w:szCs w:val="48"/>
        </w:rPr>
        <w:t>中期评估表</w:t>
      </w:r>
    </w:p>
    <w:p>
      <w:pPr>
        <w:spacing w:line="800" w:lineRule="exact"/>
        <w:ind w:left="420"/>
        <w:jc w:val="center"/>
        <w:rPr>
          <w:rFonts w:ascii="仿宋_GB2312" w:hAnsi="仿宋_GB2312" w:eastAsia="仿宋_GB2312"/>
          <w:bCs/>
          <w:sz w:val="30"/>
          <w:szCs w:val="30"/>
        </w:rPr>
      </w:pPr>
    </w:p>
    <w:p>
      <w:pPr>
        <w:spacing w:line="800" w:lineRule="exact"/>
        <w:ind w:left="420"/>
        <w:jc w:val="center"/>
        <w:rPr>
          <w:rFonts w:ascii="仿宋_GB2312" w:hAnsi="仿宋_GB2312" w:eastAsia="仿宋_GB2312"/>
          <w:bCs/>
          <w:sz w:val="30"/>
          <w:szCs w:val="30"/>
        </w:rPr>
      </w:pPr>
    </w:p>
    <w:p>
      <w:pPr>
        <w:spacing w:line="800" w:lineRule="exact"/>
        <w:ind w:left="420"/>
        <w:jc w:val="center"/>
        <w:rPr>
          <w:rFonts w:ascii="仿宋_GB2312" w:hAnsi="仿宋_GB2312" w:eastAsia="仿宋_GB2312"/>
          <w:bCs/>
          <w:sz w:val="30"/>
          <w:szCs w:val="30"/>
        </w:rPr>
      </w:pPr>
    </w:p>
    <w:p>
      <w:pPr>
        <w:spacing w:line="800" w:lineRule="exact"/>
        <w:ind w:left="420"/>
        <w:jc w:val="center"/>
        <w:rPr>
          <w:rFonts w:ascii="仿宋_GB2312" w:hAnsi="仿宋_GB2312" w:eastAsia="仿宋_GB2312"/>
          <w:bCs/>
          <w:sz w:val="30"/>
          <w:szCs w:val="30"/>
        </w:rPr>
      </w:pPr>
    </w:p>
    <w:p>
      <w:pPr>
        <w:spacing w:line="800" w:lineRule="exact"/>
        <w:ind w:left="420"/>
        <w:jc w:val="center"/>
        <w:rPr>
          <w:rFonts w:ascii="仿宋_GB2312" w:hAnsi="仿宋_GB2312" w:eastAsia="仿宋_GB2312"/>
          <w:bCs/>
          <w:sz w:val="30"/>
          <w:szCs w:val="30"/>
        </w:rPr>
      </w:pPr>
    </w:p>
    <w:p>
      <w:pPr>
        <w:spacing w:line="800" w:lineRule="exact"/>
        <w:ind w:left="420"/>
        <w:jc w:val="center"/>
        <w:rPr>
          <w:rFonts w:ascii="仿宋_GB2312" w:hAnsi="仿宋_GB2312" w:eastAsia="仿宋_GB2312"/>
          <w:bCs/>
          <w:sz w:val="30"/>
          <w:szCs w:val="30"/>
        </w:rPr>
      </w:pPr>
      <w:r>
        <mc:AlternateContent>
          <mc:Choice Requires="wps">
            <w:drawing>
              <wp:anchor distT="0" distB="0" distL="114300" distR="114300" simplePos="0" relativeHeight="251658240" behindDoc="0" locked="0" layoutInCell="0" allowOverlap="1">
                <wp:simplePos x="0" y="0"/>
                <wp:positionH relativeFrom="page">
                  <wp:posOffset>1446530</wp:posOffset>
                </wp:positionH>
                <wp:positionV relativeFrom="paragraph">
                  <wp:posOffset>36195</wp:posOffset>
                </wp:positionV>
                <wp:extent cx="4219575" cy="1550035"/>
                <wp:effectExtent l="0" t="0" r="0" b="0"/>
                <wp:wrapSquare wrapText="bothSides"/>
                <wp:docPr id="1" name="文本框1"/>
                <wp:cNvGraphicFramePr/>
                <a:graphic xmlns:a="http://schemas.openxmlformats.org/drawingml/2006/main">
                  <a:graphicData uri="http://schemas.microsoft.com/office/word/2010/wordprocessingShape">
                    <wps:wsp>
                      <wps:cNvSpPr txBox="1"/>
                      <wps:spPr>
                        <a:xfrm>
                          <a:off x="0" y="0"/>
                          <a:ext cx="4219575" cy="1550035"/>
                        </a:xfrm>
                        <a:prstGeom prst="rect">
                          <a:avLst/>
                        </a:prstGeom>
                        <a:noFill/>
                        <a:ln w="12700">
                          <a:noFill/>
                        </a:ln>
                      </wps:spPr>
                      <wps:txbx>
                        <w:txbxContent>
                          <w:tbl>
                            <w:tblPr>
                              <w:tblStyle w:val="7"/>
                              <w:tblW w:w="6634" w:type="dxa"/>
                              <w:tblInd w:w="108" w:type="dxa"/>
                              <w:tblLayout w:type="fixed"/>
                              <w:tblCellMar>
                                <w:top w:w="0" w:type="dxa"/>
                                <w:left w:w="10" w:type="dxa"/>
                                <w:bottom w:w="0" w:type="dxa"/>
                                <w:right w:w="10" w:type="dxa"/>
                              </w:tblCellMar>
                            </w:tblPr>
                            <w:tblGrid>
                              <w:gridCol w:w="3090"/>
                              <w:gridCol w:w="3544"/>
                            </w:tblGrid>
                            <w:tr>
                              <w:tblPrEx>
                                <w:tblLayout w:type="fixed"/>
                              </w:tblPrEx>
                              <w:tc>
                                <w:tcPr>
                                  <w:tcW w:w="3090" w:type="dxa"/>
                                  <w:tcBorders>
                                    <w:top w:val="nil"/>
                                    <w:left w:val="nil"/>
                                    <w:bottom w:val="nil"/>
                                    <w:right w:val="nil"/>
                                  </w:tcBorders>
                                  <w:tcMar>
                                    <w:top w:w="0" w:type="dxa"/>
                                    <w:left w:w="108" w:type="dxa"/>
                                    <w:bottom w:w="0" w:type="dxa"/>
                                    <w:right w:w="108" w:type="dxa"/>
                                  </w:tcMar>
                                </w:tcPr>
                                <w:p>
                                  <w:pPr>
                                    <w:spacing w:line="800" w:lineRule="exact"/>
                                    <w:jc w:val="center"/>
                                    <w:rPr>
                                      <w:rFonts w:ascii="仿宋_GB2312" w:hAnsi="仿宋_GB2312" w:eastAsia="仿宋_GB2312"/>
                                      <w:bCs/>
                                      <w:sz w:val="30"/>
                                      <w:szCs w:val="30"/>
                                    </w:rPr>
                                  </w:pPr>
                                  <w:r>
                                    <w:rPr>
                                      <w:rFonts w:hint="eastAsia" w:ascii="仿宋_GB2312" w:hAnsi="仿宋_GB2312" w:eastAsia="仿宋_GB2312"/>
                                      <w:spacing w:val="5"/>
                                      <w:sz w:val="30"/>
                                      <w:szCs w:val="30"/>
                                    </w:rPr>
                                    <w:t>姓      名：</w:t>
                                  </w:r>
                                </w:p>
                              </w:tc>
                              <w:tc>
                                <w:tcPr>
                                  <w:tcW w:w="3544" w:type="dxa"/>
                                  <w:tcBorders>
                                    <w:top w:val="nil"/>
                                    <w:left w:val="nil"/>
                                    <w:bottom w:val="single" w:color="000000" w:sz="4" w:space="0"/>
                                    <w:right w:val="nil"/>
                                  </w:tcBorders>
                                  <w:tcMar>
                                    <w:top w:w="0" w:type="dxa"/>
                                    <w:left w:w="108" w:type="dxa"/>
                                    <w:bottom w:w="0" w:type="dxa"/>
                                    <w:right w:w="108" w:type="dxa"/>
                                  </w:tcMar>
                                </w:tcPr>
                                <w:p>
                                  <w:pPr>
                                    <w:spacing w:line="800" w:lineRule="exact"/>
                                    <w:jc w:val="center"/>
                                    <w:rPr>
                                      <w:rFonts w:ascii="仿宋_GB2312" w:hAnsi="仿宋_GB2312" w:eastAsia="仿宋_GB2312"/>
                                      <w:bCs/>
                                      <w:sz w:val="30"/>
                                      <w:szCs w:val="30"/>
                                    </w:rPr>
                                  </w:pPr>
                                  <w:r>
                                    <w:rPr>
                                      <w:rFonts w:hint="eastAsia" w:ascii="仿宋_GB2312" w:hAnsi="仿宋_GB2312" w:eastAsia="仿宋_GB2312"/>
                                      <w:bCs/>
                                      <w:sz w:val="30"/>
                                      <w:szCs w:val="30"/>
                                    </w:rPr>
                                    <w:t>杜羽</w:t>
                                  </w:r>
                                </w:p>
                              </w:tc>
                            </w:tr>
                            <w:tr>
                              <w:tblPrEx>
                                <w:tblLayout w:type="fixed"/>
                                <w:tblCellMar>
                                  <w:top w:w="0" w:type="dxa"/>
                                  <w:left w:w="10" w:type="dxa"/>
                                  <w:bottom w:w="0" w:type="dxa"/>
                                  <w:right w:w="10" w:type="dxa"/>
                                </w:tblCellMar>
                              </w:tblPrEx>
                              <w:tc>
                                <w:tcPr>
                                  <w:tcW w:w="3090" w:type="dxa"/>
                                  <w:tcBorders>
                                    <w:top w:val="nil"/>
                                    <w:left w:val="nil"/>
                                    <w:bottom w:val="nil"/>
                                    <w:right w:val="nil"/>
                                  </w:tcBorders>
                                  <w:tcMar>
                                    <w:top w:w="0" w:type="dxa"/>
                                    <w:left w:w="108" w:type="dxa"/>
                                    <w:bottom w:w="0" w:type="dxa"/>
                                    <w:right w:w="108" w:type="dxa"/>
                                  </w:tcMar>
                                </w:tcPr>
                                <w:p>
                                  <w:pPr>
                                    <w:spacing w:line="800" w:lineRule="exact"/>
                                    <w:jc w:val="center"/>
                                    <w:rPr>
                                      <w:rFonts w:ascii="仿宋_GB2312" w:hAnsi="仿宋_GB2312" w:eastAsia="仿宋_GB2312"/>
                                      <w:bCs/>
                                      <w:sz w:val="30"/>
                                      <w:szCs w:val="30"/>
                                    </w:rPr>
                                  </w:pPr>
                                  <w:r>
                                    <w:rPr>
                                      <w:rFonts w:hint="eastAsia" w:ascii="仿宋_GB2312" w:hAnsi="仿宋_GB2312" w:eastAsia="仿宋_GB2312"/>
                                      <w:spacing w:val="5"/>
                                      <w:sz w:val="30"/>
                                      <w:szCs w:val="30"/>
                                    </w:rPr>
                                    <w:t>所 在 单 位：</w:t>
                                  </w:r>
                                </w:p>
                              </w:tc>
                              <w:tc>
                                <w:tcPr>
                                  <w:tcW w:w="3544" w:type="dxa"/>
                                  <w:tcBorders>
                                    <w:top w:val="single" w:color="000000" w:sz="4" w:space="0"/>
                                    <w:left w:val="nil"/>
                                    <w:bottom w:val="single" w:color="000000" w:sz="4" w:space="0"/>
                                    <w:right w:val="nil"/>
                                  </w:tcBorders>
                                  <w:tcMar>
                                    <w:top w:w="0" w:type="dxa"/>
                                    <w:left w:w="108" w:type="dxa"/>
                                    <w:bottom w:w="0" w:type="dxa"/>
                                    <w:right w:w="108" w:type="dxa"/>
                                  </w:tcMar>
                                </w:tcPr>
                                <w:p>
                                  <w:pPr>
                                    <w:spacing w:line="800" w:lineRule="exact"/>
                                    <w:jc w:val="center"/>
                                    <w:rPr>
                                      <w:rFonts w:ascii="仿宋_GB2312" w:hAnsi="仿宋_GB2312" w:eastAsia="仿宋_GB2312"/>
                                      <w:bCs/>
                                      <w:sz w:val="30"/>
                                      <w:szCs w:val="30"/>
                                    </w:rPr>
                                  </w:pPr>
                                  <w:r>
                                    <w:rPr>
                                      <w:rFonts w:hint="eastAsia" w:ascii="仿宋_GB2312" w:hAnsi="仿宋_GB2312" w:eastAsia="仿宋_GB2312"/>
                                      <w:bCs/>
                                      <w:sz w:val="30"/>
                                      <w:szCs w:val="30"/>
                                    </w:rPr>
                                    <w:t>园艺学院</w:t>
                                  </w:r>
                                </w:p>
                              </w:tc>
                            </w:tr>
                            <w:tr>
                              <w:tblPrEx>
                                <w:tblLayout w:type="fixed"/>
                                <w:tblCellMar>
                                  <w:top w:w="0" w:type="dxa"/>
                                  <w:left w:w="10" w:type="dxa"/>
                                  <w:bottom w:w="0" w:type="dxa"/>
                                  <w:right w:w="10" w:type="dxa"/>
                                </w:tblCellMar>
                              </w:tblPrEx>
                              <w:tc>
                                <w:tcPr>
                                  <w:tcW w:w="3090" w:type="dxa"/>
                                  <w:tcBorders>
                                    <w:top w:val="nil"/>
                                    <w:left w:val="nil"/>
                                    <w:bottom w:val="nil"/>
                                    <w:right w:val="nil"/>
                                  </w:tcBorders>
                                  <w:tcMar>
                                    <w:top w:w="0" w:type="dxa"/>
                                    <w:left w:w="108" w:type="dxa"/>
                                    <w:bottom w:w="0" w:type="dxa"/>
                                    <w:right w:w="108" w:type="dxa"/>
                                  </w:tcMar>
                                </w:tcPr>
                                <w:p>
                                  <w:pPr>
                                    <w:spacing w:line="800" w:lineRule="exact"/>
                                    <w:jc w:val="center"/>
                                    <w:rPr>
                                      <w:rFonts w:ascii="仿宋_GB2312" w:hAnsi="仿宋_GB2312" w:eastAsia="仿宋_GB2312"/>
                                      <w:bCs/>
                                      <w:sz w:val="30"/>
                                      <w:szCs w:val="30"/>
                                    </w:rPr>
                                  </w:pPr>
                                  <w:r>
                                    <w:rPr>
                                      <w:rFonts w:hint="eastAsia" w:ascii="仿宋_GB2312" w:hAnsi="仿宋_GB2312" w:eastAsia="仿宋_GB2312"/>
                                      <w:spacing w:val="14"/>
                                      <w:sz w:val="30"/>
                                      <w:szCs w:val="30"/>
                                    </w:rPr>
                                    <w:t>填 写 日 期：</w:t>
                                  </w:r>
                                </w:p>
                              </w:tc>
                              <w:tc>
                                <w:tcPr>
                                  <w:tcW w:w="3544" w:type="dxa"/>
                                  <w:tcBorders>
                                    <w:top w:val="single" w:color="000000" w:sz="4" w:space="0"/>
                                    <w:left w:val="nil"/>
                                    <w:bottom w:val="single" w:color="000000" w:sz="4" w:space="0"/>
                                    <w:right w:val="nil"/>
                                  </w:tcBorders>
                                  <w:tcMar>
                                    <w:top w:w="0" w:type="dxa"/>
                                    <w:left w:w="108" w:type="dxa"/>
                                    <w:bottom w:w="0" w:type="dxa"/>
                                    <w:right w:w="108" w:type="dxa"/>
                                  </w:tcMar>
                                </w:tcPr>
                                <w:p>
                                  <w:pPr>
                                    <w:spacing w:line="800" w:lineRule="exact"/>
                                    <w:jc w:val="center"/>
                                    <w:rPr>
                                      <w:rFonts w:ascii="仿宋_GB2312" w:hAnsi="仿宋_GB2312" w:eastAsia="仿宋_GB2312"/>
                                      <w:bCs/>
                                      <w:sz w:val="30"/>
                                      <w:szCs w:val="30"/>
                                    </w:rPr>
                                  </w:pPr>
                                  <w:r>
                                    <w:rPr>
                                      <w:rFonts w:hint="eastAsia" w:ascii="仿宋_GB2312" w:hAnsi="仿宋_GB2312" w:eastAsia="仿宋_GB2312"/>
                                      <w:bCs/>
                                      <w:sz w:val="30"/>
                                      <w:szCs w:val="30"/>
                                    </w:rPr>
                                    <w:t>2019年4月24日</w:t>
                                  </w:r>
                                </w:p>
                              </w:tc>
                            </w:tr>
                          </w:tbl>
                          <w:p/>
                        </w:txbxContent>
                      </wps:txbx>
                      <wps:bodyPr spcFirstLastPara="1" vertOverflow="clip" horzOverflow="clip" wrap="none" lIns="0" tIns="0" rIns="6985" bIns="6985">
                        <a:spAutoFit/>
                      </wps:bodyPr>
                    </wps:wsp>
                  </a:graphicData>
                </a:graphic>
              </wp:anchor>
            </w:drawing>
          </mc:Choice>
          <mc:Fallback>
            <w:pict>
              <v:shape id="文本框1" o:spid="_x0000_s1026" o:spt="202" type="#_x0000_t202" style="position:absolute;left:0pt;margin-left:113.9pt;margin-top:2.85pt;height:122.05pt;width:332.25pt;mso-position-horizontal-relative:page;mso-wrap-distance-bottom:0pt;mso-wrap-distance-left:9pt;mso-wrap-distance-right:9pt;mso-wrap-distance-top:0pt;mso-wrap-style:none;z-index:251658240;mso-width-relative:page;mso-height-relative:page;" filled="f" stroked="f" coordsize="21600,21600" o:allowincell="f" o:gfxdata="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K6TOWbYAAAACQEAAA8AAAAA&#10;AAAAAQAgAAAAIgAAAGRycy9kb3ducmV2LnhtbFBLAQIUABQAAAAIAIdO4kD0ieBd2wEAAIsDAAAO&#10;AAAAAAAAAAEAIAAAACcBAABkcnMvZTJvRG9jLnhtbFBLBQYAAAAABgAGAFkBAAB0BQAAAAA=&#10;">
                <v:fill on="f" focussize="0,0"/>
                <v:stroke on="f" weight="1pt"/>
                <v:imagedata o:title=""/>
                <o:lock v:ext="edit" aspectratio="f"/>
                <v:textbox inset="0mm,0mm,11,11" style="mso-fit-shape-to-text:t;">
                  <w:txbxContent>
                    <w:tbl>
                      <w:tblPr>
                        <w:tblStyle w:val="7"/>
                        <w:tblW w:w="6634" w:type="dxa"/>
                        <w:tblInd w:w="108" w:type="dxa"/>
                        <w:tblLayout w:type="fixed"/>
                        <w:tblCellMar>
                          <w:top w:w="0" w:type="dxa"/>
                          <w:left w:w="10" w:type="dxa"/>
                          <w:bottom w:w="0" w:type="dxa"/>
                          <w:right w:w="10" w:type="dxa"/>
                        </w:tblCellMar>
                      </w:tblPr>
                      <w:tblGrid>
                        <w:gridCol w:w="3090"/>
                        <w:gridCol w:w="3544"/>
                      </w:tblGrid>
                      <w:tr>
                        <w:tblPrEx>
                          <w:tblLayout w:type="fixed"/>
                          <w:tblCellMar>
                            <w:top w:w="0" w:type="dxa"/>
                            <w:left w:w="10" w:type="dxa"/>
                            <w:bottom w:w="0" w:type="dxa"/>
                            <w:right w:w="10" w:type="dxa"/>
                          </w:tblCellMar>
                        </w:tblPrEx>
                        <w:tc>
                          <w:tcPr>
                            <w:tcW w:w="3090" w:type="dxa"/>
                            <w:tcBorders>
                              <w:top w:val="nil"/>
                              <w:left w:val="nil"/>
                              <w:bottom w:val="nil"/>
                              <w:right w:val="nil"/>
                            </w:tcBorders>
                            <w:tcMar>
                              <w:top w:w="0" w:type="dxa"/>
                              <w:left w:w="108" w:type="dxa"/>
                              <w:bottom w:w="0" w:type="dxa"/>
                              <w:right w:w="108" w:type="dxa"/>
                            </w:tcMar>
                          </w:tcPr>
                          <w:p>
                            <w:pPr>
                              <w:spacing w:line="800" w:lineRule="exact"/>
                              <w:jc w:val="center"/>
                              <w:rPr>
                                <w:rFonts w:ascii="仿宋_GB2312" w:hAnsi="仿宋_GB2312" w:eastAsia="仿宋_GB2312"/>
                                <w:bCs/>
                                <w:sz w:val="30"/>
                                <w:szCs w:val="30"/>
                              </w:rPr>
                            </w:pPr>
                            <w:r>
                              <w:rPr>
                                <w:rFonts w:hint="eastAsia" w:ascii="仿宋_GB2312" w:hAnsi="仿宋_GB2312" w:eastAsia="仿宋_GB2312"/>
                                <w:spacing w:val="5"/>
                                <w:sz w:val="30"/>
                                <w:szCs w:val="30"/>
                              </w:rPr>
                              <w:t>姓      名：</w:t>
                            </w:r>
                          </w:p>
                        </w:tc>
                        <w:tc>
                          <w:tcPr>
                            <w:tcW w:w="3544" w:type="dxa"/>
                            <w:tcBorders>
                              <w:top w:val="nil"/>
                              <w:left w:val="nil"/>
                              <w:bottom w:val="single" w:color="000000" w:sz="4" w:space="0"/>
                              <w:right w:val="nil"/>
                            </w:tcBorders>
                            <w:tcMar>
                              <w:top w:w="0" w:type="dxa"/>
                              <w:left w:w="108" w:type="dxa"/>
                              <w:bottom w:w="0" w:type="dxa"/>
                              <w:right w:w="108" w:type="dxa"/>
                            </w:tcMar>
                          </w:tcPr>
                          <w:p>
                            <w:pPr>
                              <w:spacing w:line="800" w:lineRule="exact"/>
                              <w:jc w:val="center"/>
                              <w:rPr>
                                <w:rFonts w:ascii="仿宋_GB2312" w:hAnsi="仿宋_GB2312" w:eastAsia="仿宋_GB2312"/>
                                <w:bCs/>
                                <w:sz w:val="30"/>
                                <w:szCs w:val="30"/>
                              </w:rPr>
                            </w:pPr>
                            <w:r>
                              <w:rPr>
                                <w:rFonts w:hint="eastAsia" w:ascii="仿宋_GB2312" w:hAnsi="仿宋_GB2312" w:eastAsia="仿宋_GB2312"/>
                                <w:bCs/>
                                <w:sz w:val="30"/>
                                <w:szCs w:val="30"/>
                              </w:rPr>
                              <w:t>杜羽</w:t>
                            </w:r>
                          </w:p>
                        </w:tc>
                      </w:tr>
                      <w:tr>
                        <w:tblPrEx>
                          <w:tblLayout w:type="fixed"/>
                          <w:tblCellMar>
                            <w:top w:w="0" w:type="dxa"/>
                            <w:left w:w="10" w:type="dxa"/>
                            <w:bottom w:w="0" w:type="dxa"/>
                            <w:right w:w="10" w:type="dxa"/>
                          </w:tblCellMar>
                        </w:tblPrEx>
                        <w:tc>
                          <w:tcPr>
                            <w:tcW w:w="3090" w:type="dxa"/>
                            <w:tcBorders>
                              <w:top w:val="nil"/>
                              <w:left w:val="nil"/>
                              <w:bottom w:val="nil"/>
                              <w:right w:val="nil"/>
                            </w:tcBorders>
                            <w:tcMar>
                              <w:top w:w="0" w:type="dxa"/>
                              <w:left w:w="108" w:type="dxa"/>
                              <w:bottom w:w="0" w:type="dxa"/>
                              <w:right w:w="108" w:type="dxa"/>
                            </w:tcMar>
                          </w:tcPr>
                          <w:p>
                            <w:pPr>
                              <w:spacing w:line="800" w:lineRule="exact"/>
                              <w:jc w:val="center"/>
                              <w:rPr>
                                <w:rFonts w:ascii="仿宋_GB2312" w:hAnsi="仿宋_GB2312" w:eastAsia="仿宋_GB2312"/>
                                <w:bCs/>
                                <w:sz w:val="30"/>
                                <w:szCs w:val="30"/>
                              </w:rPr>
                            </w:pPr>
                            <w:r>
                              <w:rPr>
                                <w:rFonts w:hint="eastAsia" w:ascii="仿宋_GB2312" w:hAnsi="仿宋_GB2312" w:eastAsia="仿宋_GB2312"/>
                                <w:spacing w:val="5"/>
                                <w:sz w:val="30"/>
                                <w:szCs w:val="30"/>
                              </w:rPr>
                              <w:t>所 在 单 位：</w:t>
                            </w:r>
                          </w:p>
                        </w:tc>
                        <w:tc>
                          <w:tcPr>
                            <w:tcW w:w="3544" w:type="dxa"/>
                            <w:tcBorders>
                              <w:top w:val="single" w:color="000000" w:sz="4" w:space="0"/>
                              <w:left w:val="nil"/>
                              <w:bottom w:val="single" w:color="000000" w:sz="4" w:space="0"/>
                              <w:right w:val="nil"/>
                            </w:tcBorders>
                            <w:tcMar>
                              <w:top w:w="0" w:type="dxa"/>
                              <w:left w:w="108" w:type="dxa"/>
                              <w:bottom w:w="0" w:type="dxa"/>
                              <w:right w:w="108" w:type="dxa"/>
                            </w:tcMar>
                          </w:tcPr>
                          <w:p>
                            <w:pPr>
                              <w:spacing w:line="800" w:lineRule="exact"/>
                              <w:jc w:val="center"/>
                              <w:rPr>
                                <w:rFonts w:ascii="仿宋_GB2312" w:hAnsi="仿宋_GB2312" w:eastAsia="仿宋_GB2312"/>
                                <w:bCs/>
                                <w:sz w:val="30"/>
                                <w:szCs w:val="30"/>
                              </w:rPr>
                            </w:pPr>
                            <w:r>
                              <w:rPr>
                                <w:rFonts w:hint="eastAsia" w:ascii="仿宋_GB2312" w:hAnsi="仿宋_GB2312" w:eastAsia="仿宋_GB2312"/>
                                <w:bCs/>
                                <w:sz w:val="30"/>
                                <w:szCs w:val="30"/>
                              </w:rPr>
                              <w:t>园艺学院</w:t>
                            </w:r>
                          </w:p>
                        </w:tc>
                      </w:tr>
                      <w:tr>
                        <w:tblPrEx>
                          <w:tblLayout w:type="fixed"/>
                          <w:tblCellMar>
                            <w:top w:w="0" w:type="dxa"/>
                            <w:left w:w="10" w:type="dxa"/>
                            <w:bottom w:w="0" w:type="dxa"/>
                            <w:right w:w="10" w:type="dxa"/>
                          </w:tblCellMar>
                        </w:tblPrEx>
                        <w:tc>
                          <w:tcPr>
                            <w:tcW w:w="3090" w:type="dxa"/>
                            <w:tcBorders>
                              <w:top w:val="nil"/>
                              <w:left w:val="nil"/>
                              <w:bottom w:val="nil"/>
                              <w:right w:val="nil"/>
                            </w:tcBorders>
                            <w:tcMar>
                              <w:top w:w="0" w:type="dxa"/>
                              <w:left w:w="108" w:type="dxa"/>
                              <w:bottom w:w="0" w:type="dxa"/>
                              <w:right w:w="108" w:type="dxa"/>
                            </w:tcMar>
                          </w:tcPr>
                          <w:p>
                            <w:pPr>
                              <w:spacing w:line="800" w:lineRule="exact"/>
                              <w:jc w:val="center"/>
                              <w:rPr>
                                <w:rFonts w:ascii="仿宋_GB2312" w:hAnsi="仿宋_GB2312" w:eastAsia="仿宋_GB2312"/>
                                <w:bCs/>
                                <w:sz w:val="30"/>
                                <w:szCs w:val="30"/>
                              </w:rPr>
                            </w:pPr>
                            <w:r>
                              <w:rPr>
                                <w:rFonts w:hint="eastAsia" w:ascii="仿宋_GB2312" w:hAnsi="仿宋_GB2312" w:eastAsia="仿宋_GB2312"/>
                                <w:spacing w:val="14"/>
                                <w:sz w:val="30"/>
                                <w:szCs w:val="30"/>
                              </w:rPr>
                              <w:t>填 写 日 期：</w:t>
                            </w:r>
                          </w:p>
                        </w:tc>
                        <w:tc>
                          <w:tcPr>
                            <w:tcW w:w="3544" w:type="dxa"/>
                            <w:tcBorders>
                              <w:top w:val="single" w:color="000000" w:sz="4" w:space="0"/>
                              <w:left w:val="nil"/>
                              <w:bottom w:val="single" w:color="000000" w:sz="4" w:space="0"/>
                              <w:right w:val="nil"/>
                            </w:tcBorders>
                            <w:tcMar>
                              <w:top w:w="0" w:type="dxa"/>
                              <w:left w:w="108" w:type="dxa"/>
                              <w:bottom w:w="0" w:type="dxa"/>
                              <w:right w:w="108" w:type="dxa"/>
                            </w:tcMar>
                          </w:tcPr>
                          <w:p>
                            <w:pPr>
                              <w:spacing w:line="800" w:lineRule="exact"/>
                              <w:jc w:val="center"/>
                              <w:rPr>
                                <w:rFonts w:ascii="仿宋_GB2312" w:hAnsi="仿宋_GB2312" w:eastAsia="仿宋_GB2312"/>
                                <w:bCs/>
                                <w:sz w:val="30"/>
                                <w:szCs w:val="30"/>
                              </w:rPr>
                            </w:pPr>
                            <w:r>
                              <w:rPr>
                                <w:rFonts w:hint="eastAsia" w:ascii="仿宋_GB2312" w:hAnsi="仿宋_GB2312" w:eastAsia="仿宋_GB2312"/>
                                <w:bCs/>
                                <w:sz w:val="30"/>
                                <w:szCs w:val="30"/>
                              </w:rPr>
                              <w:t>2019年4月24日</w:t>
                            </w:r>
                          </w:p>
                        </w:tc>
                      </w:tr>
                    </w:tbl>
                    <w:p/>
                  </w:txbxContent>
                </v:textbox>
                <w10:wrap type="square"/>
              </v:shape>
            </w:pict>
          </mc:Fallback>
        </mc:AlternateContent>
      </w:r>
    </w:p>
    <w:p>
      <w:pPr>
        <w:spacing w:line="480" w:lineRule="auto"/>
        <w:ind w:firstLine="312"/>
        <w:rPr>
          <w:rFonts w:ascii="仿宋_GB2312" w:hAnsi="仿宋_GB2312" w:eastAsia="仿宋_GB2312"/>
          <w:spacing w:val="14"/>
          <w:sz w:val="30"/>
          <w:szCs w:val="30"/>
        </w:rPr>
      </w:pPr>
    </w:p>
    <w:p>
      <w:pPr>
        <w:spacing w:line="480" w:lineRule="auto"/>
        <w:ind w:firstLine="312"/>
        <w:rPr>
          <w:rFonts w:ascii="仿宋_GB2312" w:hAnsi="仿宋_GB2312" w:eastAsia="仿宋_GB2312"/>
          <w:spacing w:val="14"/>
          <w:sz w:val="30"/>
          <w:szCs w:val="30"/>
        </w:rPr>
      </w:pPr>
    </w:p>
    <w:p>
      <w:pPr>
        <w:ind w:left="420"/>
        <w:rPr>
          <w:rFonts w:ascii="仿宋_GB2312" w:hAnsi="仿宋_GB2312" w:eastAsia="仿宋_GB2312"/>
          <w:sz w:val="30"/>
        </w:rPr>
      </w:pPr>
    </w:p>
    <w:p/>
    <w:p/>
    <w:p>
      <w:pPr>
        <w:jc w:val="center"/>
        <w:rPr>
          <w:rFonts w:ascii="黑体" w:hAnsi="黑体" w:eastAsia="黑体"/>
          <w:b/>
          <w:bCs/>
          <w:sz w:val="30"/>
          <w:szCs w:val="30"/>
        </w:rPr>
      </w:pPr>
      <w:r>
        <w:rPr>
          <w:rFonts w:hint="eastAsia" w:ascii="黑体" w:hAnsi="黑体" w:eastAsia="黑体"/>
          <w:b/>
          <w:bCs/>
          <w:sz w:val="30"/>
          <w:szCs w:val="30"/>
        </w:rPr>
        <w:t>西北农林科技大学党委人才</w:t>
      </w:r>
      <w:r>
        <w:rPr>
          <w:rFonts w:ascii="黑体" w:hAnsi="黑体" w:eastAsia="黑体"/>
          <w:b/>
          <w:bCs/>
          <w:sz w:val="30"/>
          <w:szCs w:val="30"/>
        </w:rPr>
        <w:t>工作部</w:t>
      </w:r>
      <w:r>
        <w:rPr>
          <w:rFonts w:hint="eastAsia" w:ascii="黑体" w:hAnsi="黑体" w:eastAsia="黑体"/>
          <w:b/>
          <w:bCs/>
          <w:sz w:val="30"/>
          <w:szCs w:val="30"/>
        </w:rPr>
        <w:t>制</w:t>
      </w:r>
    </w:p>
    <w:p>
      <w:r>
        <w:br w:type="page"/>
      </w:r>
    </w:p>
    <w:p>
      <w:pPr>
        <w:ind w:firstLine="476"/>
        <w:jc w:val="center"/>
        <w:rPr>
          <w:rFonts w:ascii="黑体" w:hAnsi="黑体" w:eastAsia="黑体"/>
          <w:b/>
          <w:sz w:val="44"/>
          <w:szCs w:val="44"/>
        </w:rPr>
      </w:pPr>
    </w:p>
    <w:p>
      <w:pPr>
        <w:jc w:val="center"/>
      </w:pPr>
      <w:r>
        <w:t>填写说明</w:t>
      </w:r>
    </w:p>
    <w:p>
      <w:pPr>
        <w:pStyle w:val="6"/>
        <w:spacing w:before="0" w:beforeAutospacing="0" w:after="0" w:afterAutospacing="0"/>
        <w:rPr>
          <w:rFonts w:ascii="仿宋_GB2312" w:hAnsi="仿宋_GB2312" w:eastAsia="仿宋_GB2312"/>
          <w:sz w:val="28"/>
          <w:szCs w:val="28"/>
        </w:rPr>
      </w:pPr>
      <w:r>
        <w:rPr>
          <w:rFonts w:hint="eastAsia" w:ascii="仿宋_GB2312" w:hAnsi="仿宋_GB2312" w:eastAsia="仿宋_GB2312"/>
          <w:sz w:val="28"/>
          <w:szCs w:val="28"/>
        </w:rPr>
        <w:t>一、填写要严肃认真、实事求是、内容详实、文字精炼。</w:t>
      </w:r>
    </w:p>
    <w:p>
      <w:pPr>
        <w:pStyle w:val="6"/>
        <w:spacing w:before="0" w:beforeAutospacing="0" w:after="0" w:afterAutospacing="0"/>
        <w:rPr>
          <w:rFonts w:ascii="仿宋_GB2312" w:hAnsi="仿宋_GB2312" w:eastAsia="仿宋_GB2312"/>
          <w:sz w:val="28"/>
          <w:szCs w:val="28"/>
        </w:rPr>
      </w:pPr>
      <w:r>
        <w:rPr>
          <w:rFonts w:hint="eastAsia" w:ascii="仿宋_GB2312" w:hAnsi="仿宋_GB2312" w:eastAsia="仿宋_GB2312"/>
          <w:sz w:val="28"/>
          <w:szCs w:val="28"/>
        </w:rPr>
        <w:t>二、请逐项认真填写，没有的填“无”。</w:t>
      </w:r>
    </w:p>
    <w:p>
      <w:pPr>
        <w:pStyle w:val="6"/>
        <w:spacing w:before="0" w:beforeAutospacing="0" w:after="0" w:afterAutospacing="0"/>
        <w:ind w:left="560" w:hanging="560"/>
        <w:rPr>
          <w:rFonts w:ascii="仿宋_GB2312" w:hAnsi="仿宋_GB2312" w:eastAsia="仿宋_GB2312"/>
          <w:sz w:val="28"/>
          <w:szCs w:val="28"/>
        </w:rPr>
      </w:pPr>
      <w:r>
        <w:rPr>
          <w:rFonts w:hint="eastAsia" w:ascii="仿宋_GB2312" w:hAnsi="仿宋_GB2312" w:eastAsia="仿宋_GB2312"/>
          <w:sz w:val="28"/>
          <w:szCs w:val="28"/>
        </w:rPr>
        <w:t>三、填报的各项工作成绩或数据，须为来校工作后所取得的成果，且</w:t>
      </w:r>
      <w:r>
        <w:rPr>
          <w:rFonts w:hint="eastAsia" w:ascii="仿宋_GB2312" w:hAnsi="仿宋_GB2312" w:eastAsia="仿宋_GB2312"/>
          <w:b/>
          <w:sz w:val="28"/>
          <w:szCs w:val="28"/>
        </w:rPr>
        <w:t>以西北农林科技大学为第一单位</w:t>
      </w:r>
      <w:r>
        <w:rPr>
          <w:rFonts w:hint="eastAsia" w:ascii="仿宋_GB2312" w:hAnsi="仿宋_GB2312" w:eastAsia="仿宋_GB2312"/>
          <w:sz w:val="28"/>
          <w:szCs w:val="28"/>
        </w:rPr>
        <w:t>。</w:t>
      </w:r>
      <w:r>
        <w:br w:type="page"/>
      </w:r>
    </w:p>
    <w:p>
      <w:pPr>
        <w:rPr>
          <w:rFonts w:ascii="黑体" w:hAnsi="黑体" w:eastAsia="黑体"/>
          <w:sz w:val="28"/>
          <w:szCs w:val="28"/>
        </w:rPr>
      </w:pPr>
      <w:r>
        <w:rPr>
          <w:rFonts w:hint="eastAsia" w:ascii="仿宋_GB2312" w:hAnsi="仿宋_GB2312" w:eastAsia="仿宋_GB2312"/>
          <w:sz w:val="28"/>
          <w:szCs w:val="28"/>
        </w:rPr>
        <w:t>一、总结简表</w:t>
      </w:r>
    </w:p>
    <w:tbl>
      <w:tblPr>
        <w:tblStyle w:val="7"/>
        <w:tblW w:w="8984" w:type="dxa"/>
        <w:jc w:val="center"/>
        <w:tblInd w:w="0" w:type="dxa"/>
        <w:tblLayout w:type="fixed"/>
        <w:tblCellMar>
          <w:top w:w="0" w:type="dxa"/>
          <w:left w:w="10" w:type="dxa"/>
          <w:bottom w:w="0" w:type="dxa"/>
          <w:right w:w="10" w:type="dxa"/>
        </w:tblCellMar>
      </w:tblPr>
      <w:tblGrid>
        <w:gridCol w:w="400"/>
        <w:gridCol w:w="817"/>
        <w:gridCol w:w="197"/>
        <w:gridCol w:w="728"/>
        <w:gridCol w:w="15"/>
        <w:gridCol w:w="530"/>
        <w:gridCol w:w="156"/>
        <w:gridCol w:w="24"/>
        <w:gridCol w:w="413"/>
        <w:gridCol w:w="329"/>
        <w:gridCol w:w="450"/>
        <w:gridCol w:w="630"/>
        <w:gridCol w:w="170"/>
        <w:gridCol w:w="15"/>
        <w:gridCol w:w="17"/>
        <w:gridCol w:w="308"/>
        <w:gridCol w:w="560"/>
        <w:gridCol w:w="91"/>
        <w:gridCol w:w="276"/>
        <w:gridCol w:w="23"/>
        <w:gridCol w:w="345"/>
        <w:gridCol w:w="152"/>
        <w:gridCol w:w="393"/>
        <w:gridCol w:w="231"/>
        <w:gridCol w:w="405"/>
        <w:gridCol w:w="414"/>
        <w:gridCol w:w="895"/>
      </w:tblGrid>
      <w:tr>
        <w:tblPrEx>
          <w:tblLayout w:type="fixed"/>
          <w:tblCellMar>
            <w:top w:w="0" w:type="dxa"/>
            <w:left w:w="10" w:type="dxa"/>
            <w:bottom w:w="0" w:type="dxa"/>
            <w:right w:w="10" w:type="dxa"/>
          </w:tblCellMar>
        </w:tblPrEx>
        <w:trPr>
          <w:cantSplit/>
          <w:trHeight w:val="620" w:hRule="atLeast"/>
          <w:jc w:val="center"/>
        </w:trPr>
        <w:tc>
          <w:tcPr>
            <w:tcW w:w="400"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个人基本情况</w:t>
            </w:r>
          </w:p>
        </w:tc>
        <w:tc>
          <w:tcPr>
            <w:tcW w:w="817"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姓名</w:t>
            </w:r>
          </w:p>
        </w:tc>
        <w:tc>
          <w:tcPr>
            <w:tcW w:w="1626"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杜羽</w:t>
            </w:r>
          </w:p>
        </w:tc>
        <w:tc>
          <w:tcPr>
            <w:tcW w:w="437"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性别</w:t>
            </w:r>
          </w:p>
        </w:tc>
        <w:tc>
          <w:tcPr>
            <w:tcW w:w="779"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女</w:t>
            </w:r>
          </w:p>
        </w:tc>
        <w:tc>
          <w:tcPr>
            <w:tcW w:w="800"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民族</w:t>
            </w:r>
          </w:p>
        </w:tc>
        <w:tc>
          <w:tcPr>
            <w:tcW w:w="900" w:type="dxa"/>
            <w:gridSpan w:val="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汉族</w:t>
            </w:r>
          </w:p>
        </w:tc>
        <w:tc>
          <w:tcPr>
            <w:tcW w:w="1280" w:type="dxa"/>
            <w:gridSpan w:val="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出生年月</w:t>
            </w:r>
          </w:p>
        </w:tc>
        <w:tc>
          <w:tcPr>
            <w:tcW w:w="1945" w:type="dxa"/>
            <w:gridSpan w:val="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1984.7</w:t>
            </w:r>
          </w:p>
        </w:tc>
      </w:tr>
      <w:tr>
        <w:tblPrEx>
          <w:tblLayout w:type="fixed"/>
          <w:tblCellMar>
            <w:top w:w="0" w:type="dxa"/>
            <w:left w:w="10" w:type="dxa"/>
            <w:bottom w:w="0" w:type="dxa"/>
            <w:right w:w="10" w:type="dxa"/>
          </w:tblCellMar>
        </w:tblPrEx>
        <w:trPr>
          <w:cantSplit/>
          <w:trHeight w:val="630" w:hRule="atLeast"/>
          <w:jc w:val="center"/>
        </w:trPr>
        <w:tc>
          <w:tcPr>
            <w:tcW w:w="400" w:type="dxa"/>
            <w:vMerge w:val="continue"/>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tc>
        <w:tc>
          <w:tcPr>
            <w:tcW w:w="1742"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最终学位</w:t>
            </w:r>
          </w:p>
          <w:p>
            <w:pPr>
              <w:jc w:val="center"/>
              <w:rPr>
                <w:rFonts w:ascii="仿宋_GB2312" w:hAnsi="仿宋_GB2312" w:eastAsia="仿宋_GB2312"/>
                <w:sz w:val="24"/>
              </w:rPr>
            </w:pPr>
            <w:r>
              <w:rPr>
                <w:rFonts w:hint="eastAsia" w:ascii="仿宋_GB2312" w:hAnsi="仿宋_GB2312" w:eastAsia="仿宋_GB2312"/>
                <w:sz w:val="24"/>
              </w:rPr>
              <w:t>及毕业学校</w:t>
            </w:r>
          </w:p>
        </w:tc>
        <w:tc>
          <w:tcPr>
            <w:tcW w:w="1917"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博士，瓦赫宁根大学</w:t>
            </w:r>
          </w:p>
        </w:tc>
        <w:tc>
          <w:tcPr>
            <w:tcW w:w="800"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研究</w:t>
            </w:r>
          </w:p>
          <w:p>
            <w:pPr>
              <w:jc w:val="center"/>
              <w:rPr>
                <w:rFonts w:ascii="仿宋_GB2312" w:hAnsi="仿宋_GB2312" w:eastAsia="仿宋_GB2312"/>
                <w:sz w:val="24"/>
              </w:rPr>
            </w:pPr>
            <w:r>
              <w:rPr>
                <w:rFonts w:hint="eastAsia" w:ascii="仿宋_GB2312" w:hAnsi="仿宋_GB2312" w:eastAsia="仿宋_GB2312"/>
                <w:sz w:val="24"/>
              </w:rPr>
              <w:t>领域</w:t>
            </w:r>
          </w:p>
        </w:tc>
        <w:tc>
          <w:tcPr>
            <w:tcW w:w="900" w:type="dxa"/>
            <w:gridSpan w:val="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蔬菜学</w:t>
            </w:r>
          </w:p>
        </w:tc>
        <w:tc>
          <w:tcPr>
            <w:tcW w:w="1280" w:type="dxa"/>
            <w:gridSpan w:val="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84"/>
              <w:jc w:val="center"/>
              <w:rPr>
                <w:rFonts w:ascii="仿宋_GB2312" w:hAnsi="仿宋_GB2312" w:eastAsia="仿宋_GB2312"/>
                <w:sz w:val="24"/>
              </w:rPr>
            </w:pPr>
            <w:r>
              <w:rPr>
                <w:rFonts w:hint="eastAsia" w:ascii="仿宋_GB2312" w:hAnsi="仿宋_GB2312" w:eastAsia="仿宋_GB2312"/>
                <w:sz w:val="24"/>
              </w:rPr>
              <w:t>研究方向</w:t>
            </w:r>
          </w:p>
        </w:tc>
        <w:tc>
          <w:tcPr>
            <w:tcW w:w="1945" w:type="dxa"/>
            <w:gridSpan w:val="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蔬菜抗疫病育种</w:t>
            </w:r>
          </w:p>
        </w:tc>
      </w:tr>
      <w:tr>
        <w:tblPrEx>
          <w:tblLayout w:type="fixed"/>
          <w:tblCellMar>
            <w:top w:w="0" w:type="dxa"/>
            <w:left w:w="10" w:type="dxa"/>
            <w:bottom w:w="0" w:type="dxa"/>
            <w:right w:w="10" w:type="dxa"/>
          </w:tblCellMar>
        </w:tblPrEx>
        <w:trPr>
          <w:cantSplit/>
          <w:trHeight w:val="630" w:hRule="atLeast"/>
          <w:jc w:val="center"/>
        </w:trPr>
        <w:tc>
          <w:tcPr>
            <w:tcW w:w="400" w:type="dxa"/>
            <w:vMerge w:val="continue"/>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tc>
        <w:tc>
          <w:tcPr>
            <w:tcW w:w="1742"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专业技术职务</w:t>
            </w:r>
          </w:p>
        </w:tc>
        <w:tc>
          <w:tcPr>
            <w:tcW w:w="1917"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副教授v</w:t>
            </w:r>
          </w:p>
        </w:tc>
        <w:tc>
          <w:tcPr>
            <w:tcW w:w="800"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84"/>
              <w:jc w:val="center"/>
              <w:rPr>
                <w:rFonts w:ascii="仿宋_GB2312" w:hAnsi="仿宋_GB2312" w:eastAsia="仿宋_GB2312"/>
                <w:sz w:val="24"/>
              </w:rPr>
            </w:pPr>
            <w:r>
              <w:rPr>
                <w:rFonts w:hint="eastAsia" w:ascii="仿宋_GB2312" w:hAnsi="仿宋_GB2312" w:eastAsia="仿宋_GB2312"/>
                <w:sz w:val="24"/>
              </w:rPr>
              <w:t>行政</w:t>
            </w:r>
          </w:p>
          <w:p>
            <w:pPr>
              <w:ind w:left="84"/>
              <w:jc w:val="center"/>
              <w:rPr>
                <w:rFonts w:ascii="仿宋_GB2312" w:hAnsi="仿宋_GB2312" w:eastAsia="仿宋_GB2312"/>
                <w:sz w:val="24"/>
              </w:rPr>
            </w:pPr>
            <w:r>
              <w:rPr>
                <w:rFonts w:hint="eastAsia" w:ascii="仿宋_GB2312" w:hAnsi="仿宋_GB2312" w:eastAsia="仿宋_GB2312"/>
                <w:sz w:val="24"/>
              </w:rPr>
              <w:t>职务</w:t>
            </w:r>
          </w:p>
        </w:tc>
        <w:tc>
          <w:tcPr>
            <w:tcW w:w="900" w:type="dxa"/>
            <w:gridSpan w:val="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无</w:t>
            </w:r>
          </w:p>
        </w:tc>
        <w:tc>
          <w:tcPr>
            <w:tcW w:w="735" w:type="dxa"/>
            <w:gridSpan w:val="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电子邮箱</w:t>
            </w:r>
          </w:p>
        </w:tc>
        <w:tc>
          <w:tcPr>
            <w:tcW w:w="2490" w:type="dxa"/>
            <w:gridSpan w:val="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ascii="仿宋_GB2312" w:hAnsi="仿宋_GB2312" w:eastAsia="仿宋_GB2312"/>
                <w:sz w:val="24"/>
              </w:rPr>
              <w:t>yu</w:t>
            </w:r>
            <w:r>
              <w:rPr>
                <w:rFonts w:hint="eastAsia" w:ascii="仿宋_GB2312" w:hAnsi="仿宋_GB2312" w:eastAsia="仿宋_GB2312"/>
                <w:sz w:val="24"/>
              </w:rPr>
              <w:t>.</w:t>
            </w:r>
            <w:r>
              <w:rPr>
                <w:rFonts w:ascii="仿宋_GB2312" w:hAnsi="仿宋_GB2312" w:eastAsia="仿宋_GB2312"/>
                <w:sz w:val="24"/>
              </w:rPr>
              <w:t>du</w:t>
            </w:r>
            <w:r>
              <w:rPr>
                <w:rFonts w:hint="eastAsia" w:ascii="仿宋_GB2312" w:hAnsi="仿宋_GB2312" w:eastAsia="仿宋_GB2312"/>
                <w:sz w:val="24"/>
              </w:rPr>
              <w:t>@</w:t>
            </w:r>
            <w:r>
              <w:rPr>
                <w:rFonts w:ascii="仿宋_GB2312" w:hAnsi="仿宋_GB2312" w:eastAsia="仿宋_GB2312"/>
                <w:sz w:val="24"/>
              </w:rPr>
              <w:t>nwafu</w:t>
            </w:r>
            <w:r>
              <w:rPr>
                <w:rFonts w:hint="eastAsia" w:ascii="仿宋_GB2312" w:hAnsi="仿宋_GB2312" w:eastAsia="仿宋_GB2312"/>
                <w:sz w:val="24"/>
              </w:rPr>
              <w:t>.</w:t>
            </w:r>
            <w:r>
              <w:rPr>
                <w:rFonts w:ascii="仿宋_GB2312" w:hAnsi="仿宋_GB2312" w:eastAsia="仿宋_GB2312"/>
                <w:sz w:val="24"/>
              </w:rPr>
              <w:t>edu</w:t>
            </w:r>
            <w:r>
              <w:rPr>
                <w:rFonts w:hint="eastAsia" w:ascii="仿宋_GB2312" w:hAnsi="仿宋_GB2312" w:eastAsia="仿宋_GB2312"/>
                <w:sz w:val="24"/>
              </w:rPr>
              <w:t>.</w:t>
            </w:r>
            <w:r>
              <w:rPr>
                <w:rFonts w:ascii="仿宋_GB2312" w:hAnsi="仿宋_GB2312" w:eastAsia="仿宋_GB2312"/>
                <w:sz w:val="24"/>
              </w:rPr>
              <w:t>cn</w:t>
            </w:r>
          </w:p>
        </w:tc>
      </w:tr>
      <w:tr>
        <w:tblPrEx>
          <w:tblLayout w:type="fixed"/>
          <w:tblCellMar>
            <w:top w:w="0" w:type="dxa"/>
            <w:left w:w="10" w:type="dxa"/>
            <w:bottom w:w="0" w:type="dxa"/>
            <w:right w:w="10" w:type="dxa"/>
          </w:tblCellMar>
        </w:tblPrEx>
        <w:trPr>
          <w:cantSplit/>
          <w:trHeight w:val="559" w:hRule="atLeast"/>
          <w:jc w:val="center"/>
        </w:trPr>
        <w:tc>
          <w:tcPr>
            <w:tcW w:w="400" w:type="dxa"/>
            <w:vMerge w:val="continue"/>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tc>
        <w:tc>
          <w:tcPr>
            <w:tcW w:w="3659" w:type="dxa"/>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研究依托的实验室、科研平台（中心）</w:t>
            </w:r>
          </w:p>
        </w:tc>
        <w:tc>
          <w:tcPr>
            <w:tcW w:w="4925" w:type="dxa"/>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ascii="微软雅黑" w:hAnsi="微软雅黑"/>
                <w:szCs w:val="21"/>
              </w:rPr>
              <w:t>蔬菜生物技术与种质资源创新</w:t>
            </w:r>
            <w:r>
              <w:rPr>
                <w:rFonts w:hint="eastAsia" w:ascii="微软雅黑" w:hAnsi="微软雅黑"/>
                <w:szCs w:val="21"/>
              </w:rPr>
              <w:t>实验室、园艺学院实验平台、</w:t>
            </w:r>
            <w:r>
              <w:rPr>
                <w:rFonts w:ascii="微软雅黑" w:hAnsi="微软雅黑"/>
                <w:szCs w:val="21"/>
              </w:rPr>
              <w:t>旱区作物与逆境生物学</w:t>
            </w:r>
          </w:p>
        </w:tc>
      </w:tr>
      <w:tr>
        <w:tblPrEx>
          <w:tblLayout w:type="fixed"/>
          <w:tblCellMar>
            <w:top w:w="0" w:type="dxa"/>
            <w:left w:w="10" w:type="dxa"/>
            <w:bottom w:w="0" w:type="dxa"/>
            <w:right w:w="10" w:type="dxa"/>
          </w:tblCellMar>
        </w:tblPrEx>
        <w:trPr>
          <w:cantSplit/>
          <w:trHeight w:val="467" w:hRule="atLeast"/>
          <w:jc w:val="center"/>
        </w:trPr>
        <w:tc>
          <w:tcPr>
            <w:tcW w:w="400" w:type="dxa"/>
            <w:vMerge w:val="continue"/>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tc>
        <w:tc>
          <w:tcPr>
            <w:tcW w:w="1757" w:type="dxa"/>
            <w:gridSpan w:val="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联系电话</w:t>
            </w:r>
          </w:p>
        </w:tc>
        <w:tc>
          <w:tcPr>
            <w:tcW w:w="1902" w:type="dxa"/>
            <w:gridSpan w:val="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p>
        </w:tc>
        <w:tc>
          <w:tcPr>
            <w:tcW w:w="63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传真</w:t>
            </w:r>
          </w:p>
        </w:tc>
        <w:tc>
          <w:tcPr>
            <w:tcW w:w="1161" w:type="dxa"/>
            <w:gridSpan w:val="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p>
        </w:tc>
        <w:tc>
          <w:tcPr>
            <w:tcW w:w="299"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手机</w:t>
            </w:r>
          </w:p>
        </w:tc>
        <w:tc>
          <w:tcPr>
            <w:tcW w:w="2835"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15202925902</w:t>
            </w:r>
          </w:p>
        </w:tc>
      </w:tr>
      <w:tr>
        <w:tblPrEx>
          <w:tblLayout w:type="fixed"/>
          <w:tblCellMar>
            <w:top w:w="0" w:type="dxa"/>
            <w:left w:w="10" w:type="dxa"/>
            <w:bottom w:w="0" w:type="dxa"/>
            <w:right w:w="10" w:type="dxa"/>
          </w:tblCellMar>
        </w:tblPrEx>
        <w:trPr>
          <w:cantSplit/>
          <w:trHeight w:val="467" w:hRule="atLeast"/>
          <w:jc w:val="center"/>
        </w:trPr>
        <w:tc>
          <w:tcPr>
            <w:tcW w:w="400"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学校支持</w:t>
            </w:r>
          </w:p>
        </w:tc>
        <w:tc>
          <w:tcPr>
            <w:tcW w:w="1757" w:type="dxa"/>
            <w:gridSpan w:val="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科研启动费</w:t>
            </w:r>
          </w:p>
          <w:p>
            <w:pPr>
              <w:jc w:val="center"/>
              <w:rPr>
                <w:rFonts w:ascii="仿宋_GB2312" w:hAnsi="仿宋_GB2312" w:eastAsia="仿宋_GB2312"/>
                <w:sz w:val="24"/>
              </w:rPr>
            </w:pPr>
            <w:r>
              <w:rPr>
                <w:rFonts w:hint="eastAsia" w:ascii="仿宋_GB2312" w:hAnsi="仿宋_GB2312" w:eastAsia="仿宋_GB2312"/>
                <w:sz w:val="24"/>
              </w:rPr>
              <w:t>（万元）</w:t>
            </w:r>
          </w:p>
        </w:tc>
        <w:tc>
          <w:tcPr>
            <w:tcW w:w="1902" w:type="dxa"/>
            <w:gridSpan w:val="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实验室设备费</w:t>
            </w:r>
          </w:p>
          <w:p>
            <w:pPr>
              <w:jc w:val="center"/>
              <w:rPr>
                <w:rFonts w:ascii="仿宋_GB2312" w:hAnsi="仿宋_GB2312" w:eastAsia="仿宋_GB2312"/>
                <w:sz w:val="24"/>
              </w:rPr>
            </w:pPr>
            <w:r>
              <w:rPr>
                <w:rFonts w:hint="eastAsia" w:ascii="仿宋_GB2312" w:hAnsi="仿宋_GB2312" w:eastAsia="仿宋_GB2312"/>
                <w:sz w:val="24"/>
              </w:rPr>
              <w:t>（万元）</w:t>
            </w:r>
          </w:p>
        </w:tc>
        <w:tc>
          <w:tcPr>
            <w:tcW w:w="1791"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专业技术职务（岗位级别）</w:t>
            </w:r>
          </w:p>
        </w:tc>
        <w:tc>
          <w:tcPr>
            <w:tcW w:w="1420" w:type="dxa"/>
            <w:gridSpan w:val="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博导（硕导）</w:t>
            </w:r>
          </w:p>
        </w:tc>
        <w:tc>
          <w:tcPr>
            <w:tcW w:w="1714"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其他</w:t>
            </w:r>
          </w:p>
        </w:tc>
      </w:tr>
      <w:tr>
        <w:tblPrEx>
          <w:tblLayout w:type="fixed"/>
          <w:tblCellMar>
            <w:top w:w="0" w:type="dxa"/>
            <w:left w:w="10" w:type="dxa"/>
            <w:bottom w:w="0" w:type="dxa"/>
            <w:right w:w="10" w:type="dxa"/>
          </w:tblCellMar>
        </w:tblPrEx>
        <w:trPr>
          <w:cantSplit/>
          <w:trHeight w:val="439" w:hRule="atLeast"/>
          <w:jc w:val="center"/>
        </w:trPr>
        <w:tc>
          <w:tcPr>
            <w:tcW w:w="400" w:type="dxa"/>
            <w:vMerge w:val="continue"/>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tc>
        <w:tc>
          <w:tcPr>
            <w:tcW w:w="1757" w:type="dxa"/>
            <w:gridSpan w:val="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50</w:t>
            </w:r>
          </w:p>
        </w:tc>
        <w:tc>
          <w:tcPr>
            <w:tcW w:w="1902" w:type="dxa"/>
            <w:gridSpan w:val="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p>
        </w:tc>
        <w:tc>
          <w:tcPr>
            <w:tcW w:w="1791"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7</w:t>
            </w:r>
          </w:p>
        </w:tc>
        <w:tc>
          <w:tcPr>
            <w:tcW w:w="1420" w:type="dxa"/>
            <w:gridSpan w:val="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硕导</w:t>
            </w:r>
          </w:p>
        </w:tc>
        <w:tc>
          <w:tcPr>
            <w:tcW w:w="1714"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p>
        </w:tc>
      </w:tr>
      <w:tr>
        <w:tblPrEx>
          <w:tblLayout w:type="fixed"/>
          <w:tblCellMar>
            <w:top w:w="0" w:type="dxa"/>
            <w:left w:w="10" w:type="dxa"/>
            <w:bottom w:w="0" w:type="dxa"/>
            <w:right w:w="10" w:type="dxa"/>
          </w:tblCellMar>
        </w:tblPrEx>
        <w:trPr>
          <w:cantSplit/>
          <w:trHeight w:val="688" w:hRule="exact"/>
          <w:jc w:val="center"/>
        </w:trPr>
        <w:tc>
          <w:tcPr>
            <w:tcW w:w="400"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来校工作以来工作情况</w:t>
            </w:r>
          </w:p>
        </w:tc>
        <w:tc>
          <w:tcPr>
            <w:tcW w:w="1014"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经费使</w:t>
            </w:r>
          </w:p>
          <w:p>
            <w:pPr>
              <w:jc w:val="center"/>
              <w:rPr>
                <w:rFonts w:ascii="仿宋_GB2312" w:hAnsi="仿宋_GB2312" w:eastAsia="仿宋_GB2312"/>
                <w:sz w:val="24"/>
              </w:rPr>
            </w:pPr>
            <w:r>
              <w:rPr>
                <w:rFonts w:hint="eastAsia" w:ascii="仿宋_GB2312" w:hAnsi="仿宋_GB2312" w:eastAsia="仿宋_GB2312"/>
                <w:sz w:val="24"/>
              </w:rPr>
              <w:t>用情况</w:t>
            </w:r>
          </w:p>
        </w:tc>
        <w:tc>
          <w:tcPr>
            <w:tcW w:w="1866" w:type="dxa"/>
            <w:gridSpan w:val="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资 助 总 额</w:t>
            </w:r>
          </w:p>
        </w:tc>
        <w:tc>
          <w:tcPr>
            <w:tcW w:w="1611" w:type="dxa"/>
            <w:gridSpan w:val="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 xml:space="preserve">     50万元</w:t>
            </w:r>
          </w:p>
        </w:tc>
        <w:tc>
          <w:tcPr>
            <w:tcW w:w="2148" w:type="dxa"/>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实际支出金额</w:t>
            </w:r>
          </w:p>
        </w:tc>
        <w:tc>
          <w:tcPr>
            <w:tcW w:w="1945" w:type="dxa"/>
            <w:gridSpan w:val="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 xml:space="preserve">      </w:t>
            </w:r>
            <w:r>
              <w:rPr>
                <w:rFonts w:hint="eastAsia" w:ascii="Calibri" w:hAnsi="Calibri" w:eastAsia="Calibri" w:cs="微软雅黑"/>
                <w:szCs w:val="21"/>
              </w:rPr>
              <w:t>约30</w:t>
            </w:r>
            <w:r>
              <w:rPr>
                <w:rFonts w:hint="eastAsia" w:ascii="Calibri" w:hAnsi="Calibri" w:eastAsia="Calibri"/>
                <w:szCs w:val="21"/>
              </w:rPr>
              <w:t>万元，其中14.6万元已报</w:t>
            </w:r>
            <w:r>
              <w:rPr>
                <w:rFonts w:hint="eastAsia" w:ascii="仿宋_GB2312" w:hAnsi="仿宋_GB2312" w:eastAsia="Calibri"/>
                <w:szCs w:val="21"/>
              </w:rPr>
              <w:t>账</w:t>
            </w:r>
          </w:p>
        </w:tc>
      </w:tr>
      <w:tr>
        <w:tblPrEx>
          <w:tblLayout w:type="fixed"/>
          <w:tblCellMar>
            <w:top w:w="0" w:type="dxa"/>
            <w:left w:w="10" w:type="dxa"/>
            <w:bottom w:w="0" w:type="dxa"/>
            <w:right w:w="10" w:type="dxa"/>
          </w:tblCellMar>
        </w:tblPrEx>
        <w:trPr>
          <w:cantSplit/>
          <w:trHeight w:val="607" w:hRule="exact"/>
          <w:jc w:val="center"/>
        </w:trPr>
        <w:tc>
          <w:tcPr>
            <w:tcW w:w="400" w:type="dxa"/>
            <w:vMerge w:val="continue"/>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tc>
        <w:tc>
          <w:tcPr>
            <w:tcW w:w="1014" w:type="dxa"/>
            <w:gridSpan w:val="2"/>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学术交流</w:t>
            </w:r>
          </w:p>
        </w:tc>
        <w:tc>
          <w:tcPr>
            <w:tcW w:w="1866" w:type="dxa"/>
            <w:gridSpan w:val="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大会特邀报告（篇）</w:t>
            </w:r>
          </w:p>
        </w:tc>
        <w:tc>
          <w:tcPr>
            <w:tcW w:w="1611" w:type="dxa"/>
            <w:gridSpan w:val="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分组报告（篇）</w:t>
            </w:r>
          </w:p>
        </w:tc>
        <w:tc>
          <w:tcPr>
            <w:tcW w:w="2148" w:type="dxa"/>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邀请讲学（次）</w:t>
            </w:r>
          </w:p>
        </w:tc>
        <w:tc>
          <w:tcPr>
            <w:tcW w:w="1945" w:type="dxa"/>
            <w:gridSpan w:val="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被邀讲学（次）</w:t>
            </w:r>
          </w:p>
        </w:tc>
      </w:tr>
      <w:tr>
        <w:tblPrEx>
          <w:tblLayout w:type="fixed"/>
          <w:tblCellMar>
            <w:top w:w="0" w:type="dxa"/>
            <w:left w:w="10" w:type="dxa"/>
            <w:bottom w:w="0" w:type="dxa"/>
            <w:right w:w="10" w:type="dxa"/>
          </w:tblCellMar>
        </w:tblPrEx>
        <w:trPr>
          <w:cantSplit/>
          <w:trHeight w:val="409" w:hRule="exact"/>
          <w:jc w:val="center"/>
        </w:trPr>
        <w:tc>
          <w:tcPr>
            <w:tcW w:w="400" w:type="dxa"/>
            <w:vMerge w:val="continue"/>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tc>
        <w:tc>
          <w:tcPr>
            <w:tcW w:w="1014" w:type="dxa"/>
            <w:gridSpan w:val="2"/>
            <w:vMerge w:val="continue"/>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tc>
        <w:tc>
          <w:tcPr>
            <w:tcW w:w="1273" w:type="dxa"/>
            <w:gridSpan w:val="3"/>
            <w:tcBorders>
              <w:top w:val="single" w:color="000000" w:sz="4" w:space="0"/>
              <w:left w:val="single" w:color="000000" w:sz="4" w:space="0"/>
              <w:bottom w:val="nil"/>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国 际</w:t>
            </w:r>
          </w:p>
        </w:tc>
        <w:tc>
          <w:tcPr>
            <w:tcW w:w="593" w:type="dxa"/>
            <w:gridSpan w:val="3"/>
            <w:tcBorders>
              <w:top w:val="single" w:color="000000" w:sz="4" w:space="0"/>
              <w:left w:val="single" w:color="000000" w:sz="4" w:space="0"/>
              <w:bottom w:val="nil"/>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p>
        </w:tc>
        <w:tc>
          <w:tcPr>
            <w:tcW w:w="779" w:type="dxa"/>
            <w:gridSpan w:val="2"/>
            <w:tcBorders>
              <w:top w:val="single" w:color="000000" w:sz="4" w:space="0"/>
              <w:left w:val="single" w:color="000000" w:sz="4" w:space="0"/>
              <w:bottom w:val="nil"/>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国 际</w:t>
            </w:r>
          </w:p>
        </w:tc>
        <w:tc>
          <w:tcPr>
            <w:tcW w:w="832" w:type="dxa"/>
            <w:gridSpan w:val="4"/>
            <w:tcBorders>
              <w:top w:val="single" w:color="000000" w:sz="4" w:space="0"/>
              <w:left w:val="single" w:color="000000" w:sz="4" w:space="0"/>
              <w:bottom w:val="nil"/>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1</w:t>
            </w:r>
          </w:p>
        </w:tc>
        <w:tc>
          <w:tcPr>
            <w:tcW w:w="1235" w:type="dxa"/>
            <w:gridSpan w:val="4"/>
            <w:tcBorders>
              <w:top w:val="single" w:color="000000" w:sz="4" w:space="0"/>
              <w:left w:val="single" w:color="000000" w:sz="4" w:space="0"/>
              <w:bottom w:val="nil"/>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国 际</w:t>
            </w:r>
          </w:p>
        </w:tc>
        <w:tc>
          <w:tcPr>
            <w:tcW w:w="913" w:type="dxa"/>
            <w:gridSpan w:val="4"/>
            <w:tcBorders>
              <w:top w:val="single" w:color="000000" w:sz="4" w:space="0"/>
              <w:left w:val="single" w:color="000000" w:sz="4" w:space="0"/>
              <w:bottom w:val="nil"/>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p>
        </w:tc>
        <w:tc>
          <w:tcPr>
            <w:tcW w:w="1050" w:type="dxa"/>
            <w:gridSpan w:val="3"/>
            <w:tcBorders>
              <w:top w:val="single" w:color="000000" w:sz="4" w:space="0"/>
              <w:left w:val="single" w:color="000000" w:sz="4" w:space="0"/>
              <w:bottom w:val="nil"/>
              <w:right w:val="single" w:color="000000" w:sz="4" w:space="0"/>
            </w:tcBorders>
            <w:tcMar>
              <w:top w:w="0" w:type="dxa"/>
              <w:left w:w="0" w:type="dxa"/>
              <w:bottom w:w="0" w:type="dxa"/>
              <w:right w:w="0" w:type="dxa"/>
            </w:tcMar>
            <w:vAlign w:val="center"/>
          </w:tcPr>
          <w:p>
            <w:pPr>
              <w:ind w:firstLine="120"/>
              <w:rPr>
                <w:rFonts w:ascii="仿宋_GB2312" w:hAnsi="仿宋_GB2312" w:eastAsia="仿宋_GB2312"/>
                <w:sz w:val="24"/>
              </w:rPr>
            </w:pPr>
            <w:r>
              <w:rPr>
                <w:rFonts w:hint="eastAsia" w:ascii="仿宋_GB2312" w:hAnsi="仿宋_GB2312" w:eastAsia="仿宋_GB2312"/>
                <w:sz w:val="24"/>
              </w:rPr>
              <w:t>国 际</w:t>
            </w:r>
          </w:p>
        </w:tc>
        <w:tc>
          <w:tcPr>
            <w:tcW w:w="895" w:type="dxa"/>
            <w:tcBorders>
              <w:top w:val="single" w:color="000000" w:sz="4" w:space="0"/>
              <w:left w:val="single" w:color="000000" w:sz="4" w:space="0"/>
              <w:bottom w:val="nil"/>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p>
        </w:tc>
      </w:tr>
      <w:tr>
        <w:tblPrEx>
          <w:tblLayout w:type="fixed"/>
          <w:tblCellMar>
            <w:top w:w="0" w:type="dxa"/>
            <w:left w:w="10" w:type="dxa"/>
            <w:bottom w:w="0" w:type="dxa"/>
            <w:right w:w="10" w:type="dxa"/>
          </w:tblCellMar>
        </w:tblPrEx>
        <w:trPr>
          <w:cantSplit/>
          <w:trHeight w:val="471" w:hRule="exact"/>
          <w:jc w:val="center"/>
        </w:trPr>
        <w:tc>
          <w:tcPr>
            <w:tcW w:w="400" w:type="dxa"/>
            <w:vMerge w:val="continue"/>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tc>
        <w:tc>
          <w:tcPr>
            <w:tcW w:w="1014" w:type="dxa"/>
            <w:gridSpan w:val="2"/>
            <w:vMerge w:val="continue"/>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tc>
        <w:tc>
          <w:tcPr>
            <w:tcW w:w="1273"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国 内</w:t>
            </w:r>
          </w:p>
        </w:tc>
        <w:tc>
          <w:tcPr>
            <w:tcW w:w="593"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p>
        </w:tc>
        <w:tc>
          <w:tcPr>
            <w:tcW w:w="779"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国 内</w:t>
            </w:r>
          </w:p>
        </w:tc>
        <w:tc>
          <w:tcPr>
            <w:tcW w:w="832" w:type="dxa"/>
            <w:gridSpan w:val="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3</w:t>
            </w:r>
          </w:p>
        </w:tc>
        <w:tc>
          <w:tcPr>
            <w:tcW w:w="1235" w:type="dxa"/>
            <w:gridSpan w:val="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国 内</w:t>
            </w:r>
          </w:p>
        </w:tc>
        <w:tc>
          <w:tcPr>
            <w:tcW w:w="913" w:type="dxa"/>
            <w:gridSpan w:val="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p>
        </w:tc>
        <w:tc>
          <w:tcPr>
            <w:tcW w:w="1050"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120"/>
              <w:rPr>
                <w:rFonts w:ascii="仿宋_GB2312" w:hAnsi="仿宋_GB2312" w:eastAsia="仿宋_GB2312"/>
                <w:sz w:val="24"/>
              </w:rPr>
            </w:pPr>
            <w:r>
              <w:rPr>
                <w:rFonts w:hint="eastAsia" w:ascii="仿宋_GB2312" w:hAnsi="仿宋_GB2312" w:eastAsia="仿宋_GB2312"/>
                <w:sz w:val="24"/>
              </w:rPr>
              <w:t>国 内</w:t>
            </w:r>
          </w:p>
        </w:tc>
        <w:tc>
          <w:tcPr>
            <w:tcW w:w="89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p>
        </w:tc>
      </w:tr>
      <w:tr>
        <w:tblPrEx>
          <w:tblLayout w:type="fixed"/>
          <w:tblCellMar>
            <w:top w:w="0" w:type="dxa"/>
            <w:left w:w="10" w:type="dxa"/>
            <w:bottom w:w="0" w:type="dxa"/>
            <w:right w:w="10" w:type="dxa"/>
          </w:tblCellMar>
        </w:tblPrEx>
        <w:trPr>
          <w:cantSplit/>
          <w:trHeight w:val="773" w:hRule="exact"/>
          <w:jc w:val="center"/>
        </w:trPr>
        <w:tc>
          <w:tcPr>
            <w:tcW w:w="400" w:type="dxa"/>
            <w:vMerge w:val="continue"/>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tc>
        <w:tc>
          <w:tcPr>
            <w:tcW w:w="1014"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授课情况</w:t>
            </w:r>
          </w:p>
        </w:tc>
        <w:tc>
          <w:tcPr>
            <w:tcW w:w="1273"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授课门类</w:t>
            </w:r>
          </w:p>
        </w:tc>
        <w:tc>
          <w:tcPr>
            <w:tcW w:w="1372"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5</w:t>
            </w:r>
          </w:p>
        </w:tc>
        <w:tc>
          <w:tcPr>
            <w:tcW w:w="114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授课时数</w:t>
            </w:r>
          </w:p>
        </w:tc>
        <w:tc>
          <w:tcPr>
            <w:tcW w:w="950" w:type="dxa"/>
            <w:gridSpan w:val="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66</w:t>
            </w:r>
          </w:p>
        </w:tc>
        <w:tc>
          <w:tcPr>
            <w:tcW w:w="1526"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授课对象（本科、研究生）</w:t>
            </w:r>
          </w:p>
        </w:tc>
        <w:tc>
          <w:tcPr>
            <w:tcW w:w="1309"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szCs w:val="21"/>
              </w:rPr>
              <w:t>本科生5</w:t>
            </w:r>
            <w:r>
              <w:rPr>
                <w:rFonts w:ascii="仿宋_GB2312" w:hAnsi="仿宋_GB2312"/>
                <w:szCs w:val="21"/>
              </w:rPr>
              <w:t>4</w:t>
            </w:r>
            <w:r>
              <w:rPr>
                <w:rFonts w:hint="eastAsia" w:ascii="仿宋_GB2312" w:hAnsi="仿宋_GB2312"/>
                <w:szCs w:val="21"/>
              </w:rPr>
              <w:t>课时</w:t>
            </w:r>
            <w:r>
              <w:rPr>
                <w:rFonts w:ascii="仿宋_GB2312" w:hAnsi="仿宋_GB2312"/>
                <w:szCs w:val="21"/>
              </w:rPr>
              <w:t>；研究生</w:t>
            </w:r>
            <w:r>
              <w:rPr>
                <w:rFonts w:hint="eastAsia" w:ascii="仿宋_GB2312" w:hAnsi="仿宋_GB2312"/>
                <w:szCs w:val="21"/>
              </w:rPr>
              <w:t>12课时</w:t>
            </w:r>
          </w:p>
        </w:tc>
      </w:tr>
      <w:tr>
        <w:tblPrEx>
          <w:tblLayout w:type="fixed"/>
          <w:tblCellMar>
            <w:top w:w="0" w:type="dxa"/>
            <w:left w:w="10" w:type="dxa"/>
            <w:bottom w:w="0" w:type="dxa"/>
            <w:right w:w="10" w:type="dxa"/>
          </w:tblCellMar>
        </w:tblPrEx>
        <w:trPr>
          <w:cantSplit/>
          <w:trHeight w:val="457" w:hRule="exact"/>
          <w:jc w:val="center"/>
        </w:trPr>
        <w:tc>
          <w:tcPr>
            <w:tcW w:w="400" w:type="dxa"/>
            <w:vMerge w:val="continue"/>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tc>
        <w:tc>
          <w:tcPr>
            <w:tcW w:w="1014" w:type="dxa"/>
            <w:gridSpan w:val="2"/>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入选人才支持计划</w:t>
            </w:r>
          </w:p>
        </w:tc>
        <w:tc>
          <w:tcPr>
            <w:tcW w:w="3460" w:type="dxa"/>
            <w:gridSpan w:val="11"/>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国家级</w:t>
            </w:r>
          </w:p>
        </w:tc>
        <w:tc>
          <w:tcPr>
            <w:tcW w:w="4110" w:type="dxa"/>
            <w:gridSpan w:val="1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省部级</w:t>
            </w:r>
          </w:p>
        </w:tc>
      </w:tr>
      <w:tr>
        <w:tblPrEx>
          <w:tblLayout w:type="fixed"/>
          <w:tblCellMar>
            <w:top w:w="0" w:type="dxa"/>
            <w:left w:w="10" w:type="dxa"/>
            <w:bottom w:w="0" w:type="dxa"/>
            <w:right w:w="10" w:type="dxa"/>
          </w:tblCellMar>
        </w:tblPrEx>
        <w:trPr>
          <w:cantSplit/>
          <w:trHeight w:val="466" w:hRule="exact"/>
          <w:jc w:val="center"/>
        </w:trPr>
        <w:tc>
          <w:tcPr>
            <w:tcW w:w="400" w:type="dxa"/>
            <w:vMerge w:val="continue"/>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tc>
        <w:tc>
          <w:tcPr>
            <w:tcW w:w="1014" w:type="dxa"/>
            <w:gridSpan w:val="2"/>
            <w:vMerge w:val="continue"/>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tc>
        <w:tc>
          <w:tcPr>
            <w:tcW w:w="3460" w:type="dxa"/>
            <w:gridSpan w:val="11"/>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p>
        </w:tc>
        <w:tc>
          <w:tcPr>
            <w:tcW w:w="4110" w:type="dxa"/>
            <w:gridSpan w:val="1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p>
        </w:tc>
      </w:tr>
      <w:tr>
        <w:tblPrEx>
          <w:tblLayout w:type="fixed"/>
          <w:tblCellMar>
            <w:top w:w="0" w:type="dxa"/>
            <w:left w:w="10" w:type="dxa"/>
            <w:bottom w:w="0" w:type="dxa"/>
            <w:right w:w="10" w:type="dxa"/>
          </w:tblCellMar>
        </w:tblPrEx>
        <w:trPr>
          <w:cantSplit/>
          <w:trHeight w:val="466" w:hRule="exact"/>
          <w:jc w:val="center"/>
        </w:trPr>
        <w:tc>
          <w:tcPr>
            <w:tcW w:w="400" w:type="dxa"/>
            <w:vMerge w:val="continue"/>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tc>
        <w:tc>
          <w:tcPr>
            <w:tcW w:w="1014" w:type="dxa"/>
            <w:gridSpan w:val="2"/>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发明专利</w:t>
            </w:r>
          </w:p>
        </w:tc>
        <w:tc>
          <w:tcPr>
            <w:tcW w:w="3460" w:type="dxa"/>
            <w:gridSpan w:val="11"/>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申请</w:t>
            </w:r>
          </w:p>
        </w:tc>
        <w:tc>
          <w:tcPr>
            <w:tcW w:w="4110" w:type="dxa"/>
            <w:gridSpan w:val="1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已授权</w:t>
            </w:r>
          </w:p>
        </w:tc>
      </w:tr>
      <w:tr>
        <w:tblPrEx>
          <w:tblLayout w:type="fixed"/>
          <w:tblCellMar>
            <w:top w:w="0" w:type="dxa"/>
            <w:left w:w="10" w:type="dxa"/>
            <w:bottom w:w="0" w:type="dxa"/>
            <w:right w:w="10" w:type="dxa"/>
          </w:tblCellMar>
        </w:tblPrEx>
        <w:trPr>
          <w:cantSplit/>
          <w:trHeight w:val="466" w:hRule="exact"/>
          <w:jc w:val="center"/>
        </w:trPr>
        <w:tc>
          <w:tcPr>
            <w:tcW w:w="400" w:type="dxa"/>
            <w:vMerge w:val="continue"/>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tc>
        <w:tc>
          <w:tcPr>
            <w:tcW w:w="1014" w:type="dxa"/>
            <w:gridSpan w:val="2"/>
            <w:vMerge w:val="continue"/>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tc>
        <w:tc>
          <w:tcPr>
            <w:tcW w:w="1453"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国际（项）</w:t>
            </w:r>
          </w:p>
        </w:tc>
        <w:tc>
          <w:tcPr>
            <w:tcW w:w="2007" w:type="dxa"/>
            <w:gridSpan w:val="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国内（项）</w:t>
            </w:r>
          </w:p>
        </w:tc>
        <w:tc>
          <w:tcPr>
            <w:tcW w:w="1772" w:type="dxa"/>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国际（项）</w:t>
            </w:r>
          </w:p>
        </w:tc>
        <w:tc>
          <w:tcPr>
            <w:tcW w:w="2338"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国内（项）</w:t>
            </w:r>
          </w:p>
        </w:tc>
      </w:tr>
      <w:tr>
        <w:tblPrEx>
          <w:tblLayout w:type="fixed"/>
          <w:tblCellMar>
            <w:top w:w="0" w:type="dxa"/>
            <w:left w:w="10" w:type="dxa"/>
            <w:bottom w:w="0" w:type="dxa"/>
            <w:right w:w="10" w:type="dxa"/>
          </w:tblCellMar>
        </w:tblPrEx>
        <w:trPr>
          <w:cantSplit/>
          <w:trHeight w:val="466" w:hRule="exact"/>
          <w:jc w:val="center"/>
        </w:trPr>
        <w:tc>
          <w:tcPr>
            <w:tcW w:w="400" w:type="dxa"/>
            <w:vMerge w:val="continue"/>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tc>
        <w:tc>
          <w:tcPr>
            <w:tcW w:w="1014" w:type="dxa"/>
            <w:gridSpan w:val="2"/>
            <w:vMerge w:val="continue"/>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tc>
        <w:tc>
          <w:tcPr>
            <w:tcW w:w="1453"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p>
        </w:tc>
        <w:tc>
          <w:tcPr>
            <w:tcW w:w="2007" w:type="dxa"/>
            <w:gridSpan w:val="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p>
        </w:tc>
        <w:tc>
          <w:tcPr>
            <w:tcW w:w="1772" w:type="dxa"/>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p>
        </w:tc>
        <w:tc>
          <w:tcPr>
            <w:tcW w:w="2338"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p>
        </w:tc>
      </w:tr>
      <w:tr>
        <w:tblPrEx>
          <w:tblLayout w:type="fixed"/>
          <w:tblCellMar>
            <w:top w:w="0" w:type="dxa"/>
            <w:left w:w="10" w:type="dxa"/>
            <w:bottom w:w="0" w:type="dxa"/>
            <w:right w:w="10" w:type="dxa"/>
          </w:tblCellMar>
        </w:tblPrEx>
        <w:trPr>
          <w:cantSplit/>
          <w:trHeight w:val="649" w:hRule="exact"/>
          <w:jc w:val="center"/>
        </w:trPr>
        <w:tc>
          <w:tcPr>
            <w:tcW w:w="400" w:type="dxa"/>
            <w:vMerge w:val="continue"/>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tc>
        <w:tc>
          <w:tcPr>
            <w:tcW w:w="1014" w:type="dxa"/>
            <w:gridSpan w:val="2"/>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发表论文</w:t>
            </w:r>
          </w:p>
        </w:tc>
        <w:tc>
          <w:tcPr>
            <w:tcW w:w="2195"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国际三大检索系统、SSCI、CSSCI收录（篇）</w:t>
            </w:r>
          </w:p>
        </w:tc>
        <w:tc>
          <w:tcPr>
            <w:tcW w:w="2517" w:type="dxa"/>
            <w:gridSpan w:val="9"/>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国际三大检索系统、SSCI、CSSCI源刊全文发表（篇）</w:t>
            </w:r>
          </w:p>
        </w:tc>
        <w:tc>
          <w:tcPr>
            <w:tcW w:w="2858" w:type="dxa"/>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其他（篇）</w:t>
            </w:r>
          </w:p>
        </w:tc>
      </w:tr>
      <w:tr>
        <w:tblPrEx>
          <w:tblLayout w:type="fixed"/>
          <w:tblCellMar>
            <w:top w:w="0" w:type="dxa"/>
            <w:left w:w="10" w:type="dxa"/>
            <w:bottom w:w="0" w:type="dxa"/>
            <w:right w:w="10" w:type="dxa"/>
          </w:tblCellMar>
        </w:tblPrEx>
        <w:trPr>
          <w:cantSplit/>
          <w:trHeight w:val="391" w:hRule="exact"/>
          <w:jc w:val="center"/>
        </w:trPr>
        <w:tc>
          <w:tcPr>
            <w:tcW w:w="400" w:type="dxa"/>
            <w:vMerge w:val="continue"/>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tc>
        <w:tc>
          <w:tcPr>
            <w:tcW w:w="1014" w:type="dxa"/>
            <w:gridSpan w:val="2"/>
            <w:vMerge w:val="continue"/>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tc>
        <w:tc>
          <w:tcPr>
            <w:tcW w:w="2195"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2</w:t>
            </w:r>
          </w:p>
        </w:tc>
        <w:tc>
          <w:tcPr>
            <w:tcW w:w="2517" w:type="dxa"/>
            <w:gridSpan w:val="9"/>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p>
        </w:tc>
        <w:tc>
          <w:tcPr>
            <w:tcW w:w="2858" w:type="dxa"/>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p>
        </w:tc>
      </w:tr>
      <w:tr>
        <w:tblPrEx>
          <w:tblLayout w:type="fixed"/>
          <w:tblCellMar>
            <w:top w:w="0" w:type="dxa"/>
            <w:left w:w="10" w:type="dxa"/>
            <w:bottom w:w="0" w:type="dxa"/>
            <w:right w:w="10" w:type="dxa"/>
          </w:tblCellMar>
        </w:tblPrEx>
        <w:trPr>
          <w:cantSplit/>
          <w:trHeight w:val="470" w:hRule="atLeast"/>
          <w:jc w:val="center"/>
        </w:trPr>
        <w:tc>
          <w:tcPr>
            <w:tcW w:w="400" w:type="dxa"/>
            <w:vMerge w:val="continue"/>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tc>
        <w:tc>
          <w:tcPr>
            <w:tcW w:w="1014" w:type="dxa"/>
            <w:gridSpan w:val="2"/>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新增主持研究课题</w:t>
            </w:r>
          </w:p>
        </w:tc>
        <w:tc>
          <w:tcPr>
            <w:tcW w:w="2195"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国家级（项）</w:t>
            </w:r>
          </w:p>
        </w:tc>
        <w:tc>
          <w:tcPr>
            <w:tcW w:w="2517" w:type="dxa"/>
            <w:gridSpan w:val="9"/>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省部级（项）</w:t>
            </w:r>
          </w:p>
        </w:tc>
        <w:tc>
          <w:tcPr>
            <w:tcW w:w="2858" w:type="dxa"/>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年均到位研究经费</w:t>
            </w:r>
          </w:p>
          <w:p>
            <w:pPr>
              <w:jc w:val="center"/>
              <w:rPr>
                <w:rFonts w:ascii="仿宋_GB2312" w:hAnsi="仿宋_GB2312" w:eastAsia="仿宋_GB2312"/>
                <w:sz w:val="24"/>
              </w:rPr>
            </w:pPr>
            <w:r>
              <w:rPr>
                <w:rFonts w:hint="eastAsia" w:ascii="仿宋_GB2312" w:hAnsi="仿宋_GB2312" w:eastAsia="仿宋_GB2312"/>
                <w:sz w:val="24"/>
              </w:rPr>
              <w:t>（万元）</w:t>
            </w:r>
          </w:p>
        </w:tc>
      </w:tr>
      <w:tr>
        <w:tblPrEx>
          <w:tblLayout w:type="fixed"/>
          <w:tblCellMar>
            <w:top w:w="0" w:type="dxa"/>
            <w:left w:w="10" w:type="dxa"/>
            <w:bottom w:w="0" w:type="dxa"/>
            <w:right w:w="10" w:type="dxa"/>
          </w:tblCellMar>
        </w:tblPrEx>
        <w:trPr>
          <w:cantSplit/>
          <w:trHeight w:val="470" w:hRule="atLeast"/>
          <w:jc w:val="center"/>
        </w:trPr>
        <w:tc>
          <w:tcPr>
            <w:tcW w:w="400" w:type="dxa"/>
            <w:vMerge w:val="continue"/>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tc>
        <w:tc>
          <w:tcPr>
            <w:tcW w:w="1014" w:type="dxa"/>
            <w:gridSpan w:val="2"/>
            <w:vMerge w:val="continue"/>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tc>
        <w:tc>
          <w:tcPr>
            <w:tcW w:w="2195"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1</w:t>
            </w:r>
          </w:p>
        </w:tc>
        <w:tc>
          <w:tcPr>
            <w:tcW w:w="2517" w:type="dxa"/>
            <w:gridSpan w:val="9"/>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2</w:t>
            </w:r>
          </w:p>
        </w:tc>
        <w:tc>
          <w:tcPr>
            <w:tcW w:w="2858" w:type="dxa"/>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27</w:t>
            </w:r>
          </w:p>
        </w:tc>
      </w:tr>
      <w:tr>
        <w:tblPrEx>
          <w:tblLayout w:type="fixed"/>
          <w:tblCellMar>
            <w:top w:w="0" w:type="dxa"/>
            <w:left w:w="10" w:type="dxa"/>
            <w:bottom w:w="0" w:type="dxa"/>
            <w:right w:w="10" w:type="dxa"/>
          </w:tblCellMar>
        </w:tblPrEx>
        <w:trPr>
          <w:cantSplit/>
          <w:trHeight w:val="470" w:hRule="atLeast"/>
          <w:jc w:val="center"/>
        </w:trPr>
        <w:tc>
          <w:tcPr>
            <w:tcW w:w="400" w:type="dxa"/>
            <w:vMerge w:val="continue"/>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tc>
        <w:tc>
          <w:tcPr>
            <w:tcW w:w="1014" w:type="dxa"/>
            <w:gridSpan w:val="2"/>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获奖情况</w:t>
            </w:r>
          </w:p>
        </w:tc>
        <w:tc>
          <w:tcPr>
            <w:tcW w:w="2195"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国际（项）</w:t>
            </w:r>
          </w:p>
        </w:tc>
        <w:tc>
          <w:tcPr>
            <w:tcW w:w="2517" w:type="dxa"/>
            <w:gridSpan w:val="9"/>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国家级（项）</w:t>
            </w:r>
          </w:p>
        </w:tc>
        <w:tc>
          <w:tcPr>
            <w:tcW w:w="2858" w:type="dxa"/>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省部级（项）</w:t>
            </w:r>
          </w:p>
        </w:tc>
      </w:tr>
      <w:tr>
        <w:tblPrEx>
          <w:tblLayout w:type="fixed"/>
          <w:tblCellMar>
            <w:top w:w="0" w:type="dxa"/>
            <w:left w:w="10" w:type="dxa"/>
            <w:bottom w:w="0" w:type="dxa"/>
            <w:right w:w="10" w:type="dxa"/>
          </w:tblCellMar>
        </w:tblPrEx>
        <w:trPr>
          <w:cantSplit/>
          <w:trHeight w:val="414" w:hRule="atLeast"/>
          <w:jc w:val="center"/>
        </w:trPr>
        <w:tc>
          <w:tcPr>
            <w:tcW w:w="400" w:type="dxa"/>
            <w:vMerge w:val="continue"/>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tc>
        <w:tc>
          <w:tcPr>
            <w:tcW w:w="1014" w:type="dxa"/>
            <w:gridSpan w:val="2"/>
            <w:vMerge w:val="continue"/>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tc>
        <w:tc>
          <w:tcPr>
            <w:tcW w:w="2195"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p>
        </w:tc>
        <w:tc>
          <w:tcPr>
            <w:tcW w:w="2517" w:type="dxa"/>
            <w:gridSpan w:val="9"/>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p>
        </w:tc>
        <w:tc>
          <w:tcPr>
            <w:tcW w:w="2858" w:type="dxa"/>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p>
        </w:tc>
      </w:tr>
      <w:tr>
        <w:tblPrEx>
          <w:tblLayout w:type="fixed"/>
          <w:tblCellMar>
            <w:top w:w="0" w:type="dxa"/>
            <w:left w:w="10" w:type="dxa"/>
            <w:bottom w:w="0" w:type="dxa"/>
            <w:right w:w="10" w:type="dxa"/>
          </w:tblCellMar>
        </w:tblPrEx>
        <w:trPr>
          <w:cantSplit/>
          <w:trHeight w:val="534" w:hRule="atLeast"/>
          <w:jc w:val="center"/>
        </w:trPr>
        <w:tc>
          <w:tcPr>
            <w:tcW w:w="400" w:type="dxa"/>
            <w:vMerge w:val="continue"/>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tc>
        <w:tc>
          <w:tcPr>
            <w:tcW w:w="1014" w:type="dxa"/>
            <w:gridSpan w:val="2"/>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ascii="仿宋_GB2312" w:hAnsi="仿宋_GB2312" w:eastAsia="仿宋_GB2312"/>
                <w:sz w:val="24"/>
              </w:rPr>
            </w:pPr>
            <w:r>
              <w:rPr>
                <w:rFonts w:hint="eastAsia" w:ascii="仿宋_GB2312" w:hAnsi="仿宋_GB2312" w:eastAsia="仿宋_GB2312"/>
                <w:sz w:val="24"/>
              </w:rPr>
              <w:t>人才培养情况</w:t>
            </w:r>
          </w:p>
        </w:tc>
        <w:tc>
          <w:tcPr>
            <w:tcW w:w="1273"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line="440" w:lineRule="exact"/>
              <w:jc w:val="center"/>
              <w:rPr>
                <w:rFonts w:ascii="仿宋_GB2312" w:hAnsi="仿宋_GB2312" w:eastAsia="仿宋_GB2312"/>
                <w:sz w:val="24"/>
              </w:rPr>
            </w:pPr>
            <w:r>
              <w:rPr>
                <w:rFonts w:hint="eastAsia" w:ascii="仿宋_GB2312" w:hAnsi="仿宋_GB2312" w:eastAsia="仿宋_GB2312"/>
                <w:sz w:val="24"/>
              </w:rPr>
              <w:t>博士后（人）</w:t>
            </w:r>
          </w:p>
        </w:tc>
        <w:tc>
          <w:tcPr>
            <w:tcW w:w="2172"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line="440" w:lineRule="exact"/>
              <w:jc w:val="center"/>
              <w:rPr>
                <w:rFonts w:ascii="仿宋_GB2312" w:hAnsi="仿宋_GB2312" w:eastAsia="仿宋_GB2312"/>
                <w:sz w:val="24"/>
              </w:rPr>
            </w:pPr>
            <w:r>
              <w:rPr>
                <w:rFonts w:hint="eastAsia" w:ascii="仿宋_GB2312" w:hAnsi="仿宋_GB2312" w:eastAsia="仿宋_GB2312"/>
                <w:sz w:val="24"/>
              </w:rPr>
              <w:t>博士（已获学位）</w:t>
            </w:r>
          </w:p>
        </w:tc>
        <w:tc>
          <w:tcPr>
            <w:tcW w:w="2180" w:type="dxa"/>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line="440" w:lineRule="exact"/>
              <w:jc w:val="center"/>
              <w:rPr>
                <w:rFonts w:ascii="仿宋_GB2312" w:hAnsi="仿宋_GB2312" w:eastAsia="仿宋_GB2312"/>
                <w:sz w:val="24"/>
              </w:rPr>
            </w:pPr>
            <w:r>
              <w:rPr>
                <w:rFonts w:hint="eastAsia" w:ascii="仿宋_GB2312" w:hAnsi="仿宋_GB2312" w:eastAsia="仿宋_GB2312"/>
                <w:sz w:val="24"/>
              </w:rPr>
              <w:t>硕士（已获学位）</w:t>
            </w:r>
          </w:p>
        </w:tc>
        <w:tc>
          <w:tcPr>
            <w:tcW w:w="1945" w:type="dxa"/>
            <w:gridSpan w:val="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line="440" w:lineRule="exact"/>
              <w:jc w:val="center"/>
              <w:rPr>
                <w:rFonts w:ascii="仿宋_GB2312" w:hAnsi="仿宋_GB2312" w:eastAsia="仿宋_GB2312"/>
                <w:sz w:val="24"/>
              </w:rPr>
            </w:pPr>
            <w:r>
              <w:rPr>
                <w:rFonts w:hint="eastAsia" w:ascii="仿宋_GB2312" w:hAnsi="仿宋_GB2312" w:eastAsia="仿宋_GB2312"/>
                <w:sz w:val="24"/>
              </w:rPr>
              <w:t>学士（已获学位）</w:t>
            </w:r>
          </w:p>
        </w:tc>
      </w:tr>
      <w:tr>
        <w:tblPrEx>
          <w:tblLayout w:type="fixed"/>
          <w:tblCellMar>
            <w:top w:w="0" w:type="dxa"/>
            <w:left w:w="10" w:type="dxa"/>
            <w:bottom w:w="0" w:type="dxa"/>
            <w:right w:w="10" w:type="dxa"/>
          </w:tblCellMar>
        </w:tblPrEx>
        <w:trPr>
          <w:cantSplit/>
          <w:trHeight w:val="534" w:hRule="atLeast"/>
          <w:jc w:val="center"/>
        </w:trPr>
        <w:tc>
          <w:tcPr>
            <w:tcW w:w="400" w:type="dxa"/>
            <w:vMerge w:val="continue"/>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tc>
        <w:tc>
          <w:tcPr>
            <w:tcW w:w="1014" w:type="dxa"/>
            <w:gridSpan w:val="2"/>
            <w:vMerge w:val="continue"/>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tc>
        <w:tc>
          <w:tcPr>
            <w:tcW w:w="1273"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line="440" w:lineRule="exact"/>
              <w:jc w:val="center"/>
              <w:rPr>
                <w:rFonts w:ascii="仿宋_GB2312" w:hAnsi="仿宋_GB2312" w:eastAsia="仿宋_GB2312"/>
                <w:sz w:val="24"/>
              </w:rPr>
            </w:pPr>
          </w:p>
        </w:tc>
        <w:tc>
          <w:tcPr>
            <w:tcW w:w="2172"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line="440" w:lineRule="exact"/>
              <w:jc w:val="center"/>
              <w:rPr>
                <w:rFonts w:ascii="仿宋_GB2312" w:hAnsi="仿宋_GB2312" w:eastAsia="仿宋_GB2312"/>
                <w:sz w:val="24"/>
              </w:rPr>
            </w:pPr>
            <w:r>
              <w:rPr>
                <w:rFonts w:hint="eastAsia" w:ascii="仿宋_GB2312" w:hAnsi="仿宋_GB2312" w:eastAsia="仿宋_GB2312"/>
                <w:sz w:val="24"/>
              </w:rPr>
              <w:t>0</w:t>
            </w:r>
            <w:r>
              <w:rPr>
                <w:rFonts w:ascii="仿宋_GB2312" w:hAnsi="仿宋_GB2312" w:eastAsia="仿宋_GB2312"/>
                <w:sz w:val="24"/>
              </w:rPr>
              <w:t>\</w:t>
            </w:r>
            <w:r>
              <w:rPr>
                <w:rFonts w:hint="eastAsia" w:ascii="仿宋_GB2312" w:hAnsi="仿宋_GB2312" w:eastAsia="仿宋_GB2312"/>
                <w:sz w:val="24"/>
              </w:rPr>
              <w:t>0</w:t>
            </w:r>
          </w:p>
        </w:tc>
        <w:tc>
          <w:tcPr>
            <w:tcW w:w="2180" w:type="dxa"/>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line="440" w:lineRule="exact"/>
              <w:jc w:val="center"/>
              <w:rPr>
                <w:rFonts w:ascii="仿宋_GB2312" w:hAnsi="仿宋_GB2312" w:eastAsia="仿宋_GB2312"/>
                <w:sz w:val="24"/>
              </w:rPr>
            </w:pPr>
            <w:r>
              <w:rPr>
                <w:rFonts w:hint="eastAsia" w:ascii="仿宋_GB2312" w:hAnsi="仿宋_GB2312" w:eastAsia="仿宋_GB2312"/>
                <w:sz w:val="24"/>
              </w:rPr>
              <w:t>7\0</w:t>
            </w:r>
          </w:p>
        </w:tc>
        <w:tc>
          <w:tcPr>
            <w:tcW w:w="1945" w:type="dxa"/>
            <w:gridSpan w:val="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line="440" w:lineRule="exact"/>
              <w:jc w:val="center"/>
              <w:rPr>
                <w:rFonts w:ascii="仿宋_GB2312" w:hAnsi="仿宋_GB2312" w:eastAsia="仿宋_GB2312"/>
                <w:sz w:val="24"/>
              </w:rPr>
            </w:pPr>
            <w:r>
              <w:rPr>
                <w:rFonts w:hint="eastAsia" w:ascii="仿宋_GB2312" w:hAnsi="仿宋_GB2312" w:eastAsia="仿宋_GB2312"/>
                <w:sz w:val="24"/>
              </w:rPr>
              <w:t>5\3</w:t>
            </w:r>
          </w:p>
        </w:tc>
      </w:tr>
    </w:tbl>
    <w:p>
      <w:pPr>
        <w:rPr>
          <w:rFonts w:ascii="仿宋_GB2312" w:hAnsi="仿宋_GB2312" w:eastAsia="仿宋_GB2312"/>
          <w:sz w:val="28"/>
          <w:szCs w:val="28"/>
        </w:rPr>
      </w:pPr>
      <w:r>
        <w:rPr>
          <w:rFonts w:hint="eastAsia" w:ascii="仿宋_GB2312" w:hAnsi="仿宋_GB2312" w:eastAsia="仿宋_GB2312"/>
          <w:sz w:val="28"/>
          <w:szCs w:val="28"/>
        </w:rPr>
        <w:t>二、合同聘期目标任务</w:t>
      </w:r>
    </w:p>
    <w:tbl>
      <w:tblPr>
        <w:tblStyle w:val="7"/>
        <w:tblW w:w="9357" w:type="dxa"/>
        <w:tblInd w:w="-426" w:type="dxa"/>
        <w:tblLayout w:type="fixed"/>
        <w:tblCellMar>
          <w:top w:w="0" w:type="dxa"/>
          <w:left w:w="10" w:type="dxa"/>
          <w:bottom w:w="0" w:type="dxa"/>
          <w:right w:w="10" w:type="dxa"/>
        </w:tblCellMar>
      </w:tblPr>
      <w:tblGrid>
        <w:gridCol w:w="9357"/>
      </w:tblGrid>
      <w:tr>
        <w:tblPrEx>
          <w:tblLayout w:type="fixed"/>
          <w:tblCellMar>
            <w:top w:w="0" w:type="dxa"/>
            <w:left w:w="10" w:type="dxa"/>
            <w:bottom w:w="0" w:type="dxa"/>
            <w:right w:w="10" w:type="dxa"/>
          </w:tblCellMar>
        </w:tblPrEx>
        <w:tc>
          <w:tcPr>
            <w:tcW w:w="935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rFonts w:ascii="仿宋_GB2312" w:hAnsi="仿宋_GB2312" w:eastAsia="仿宋_GB2312"/>
                <w:sz w:val="28"/>
                <w:szCs w:val="28"/>
              </w:rPr>
            </w:pPr>
          </w:p>
          <w:p>
            <w:pPr>
              <w:rPr>
                <w:rFonts w:ascii="仿宋_GB2312" w:hAnsi="仿宋_GB2312" w:eastAsia="仿宋_GB2312"/>
                <w:sz w:val="28"/>
                <w:szCs w:val="28"/>
              </w:rPr>
            </w:pPr>
            <w:r>
              <w:rPr>
                <w:rFonts w:hint="eastAsia" w:ascii="宋体" w:hAnsi="宋体"/>
                <w:szCs w:val="21"/>
              </w:rPr>
              <w:t xml:space="preserve">    首个五年聘期内，</w:t>
            </w:r>
            <w:r>
              <w:rPr>
                <w:rFonts w:hint="eastAsia" w:ascii="宋体" w:hAnsi="宋体" w:cs="微软雅黑"/>
                <w:szCs w:val="21"/>
              </w:rPr>
              <w:t>获</w:t>
            </w:r>
            <w:r>
              <w:rPr>
                <w:rFonts w:ascii="宋体" w:hAnsi="宋体" w:cs="MS Mincho"/>
                <w:szCs w:val="21"/>
              </w:rPr>
              <w:t>批国家自然基金等国家</w:t>
            </w:r>
            <w:r>
              <w:rPr>
                <w:rFonts w:hint="eastAsia" w:ascii="宋体" w:hAnsi="宋体" w:cs="微软雅黑"/>
                <w:szCs w:val="21"/>
              </w:rPr>
              <w:t>级</w:t>
            </w:r>
            <w:r>
              <w:rPr>
                <w:rFonts w:ascii="宋体" w:hAnsi="宋体" w:cs="MS Mincho"/>
                <w:szCs w:val="21"/>
              </w:rPr>
              <w:t>科研</w:t>
            </w:r>
            <w:r>
              <w:rPr>
                <w:rFonts w:hint="eastAsia" w:ascii="宋体" w:hAnsi="宋体" w:cs="微软雅黑"/>
                <w:szCs w:val="21"/>
              </w:rPr>
              <w:t>项</w:t>
            </w:r>
            <w:r>
              <w:rPr>
                <w:rFonts w:ascii="宋体" w:hAnsi="宋体" w:cs="MS Mincho"/>
                <w:szCs w:val="21"/>
              </w:rPr>
              <w:t>目</w:t>
            </w:r>
            <w:r>
              <w:rPr>
                <w:rFonts w:hint="eastAsia" w:ascii="宋体" w:hAnsi="宋体"/>
                <w:szCs w:val="21"/>
              </w:rPr>
              <w:t>1-2</w:t>
            </w:r>
            <w:r>
              <w:rPr>
                <w:rFonts w:hint="eastAsia" w:ascii="宋体" w:hAnsi="宋体" w:cs="微软雅黑"/>
                <w:szCs w:val="21"/>
              </w:rPr>
              <w:t>项</w:t>
            </w:r>
            <w:r>
              <w:rPr>
                <w:rFonts w:hint="eastAsia" w:ascii="宋体" w:hAnsi="宋体" w:cs="MS Mincho"/>
                <w:szCs w:val="21"/>
              </w:rPr>
              <w:t>，</w:t>
            </w:r>
            <w:r>
              <w:rPr>
                <w:rFonts w:hint="eastAsia" w:ascii="宋体" w:hAnsi="宋体" w:cs="微软雅黑"/>
                <w:szCs w:val="21"/>
              </w:rPr>
              <w:t>积</w:t>
            </w:r>
            <w:r>
              <w:rPr>
                <w:rFonts w:hint="eastAsia" w:ascii="宋体" w:hAnsi="宋体" w:cs="MS Mincho"/>
                <w:szCs w:val="21"/>
              </w:rPr>
              <w:t>极申</w:t>
            </w:r>
            <w:r>
              <w:rPr>
                <w:rFonts w:hint="eastAsia" w:ascii="宋体" w:hAnsi="宋体" w:cs="微软雅黑"/>
                <w:szCs w:val="21"/>
              </w:rPr>
              <w:t>报</w:t>
            </w:r>
            <w:r>
              <w:rPr>
                <w:rFonts w:hint="eastAsia" w:ascii="宋体" w:hAnsi="宋体" w:cs="MS Mincho"/>
                <w:szCs w:val="21"/>
              </w:rPr>
              <w:t>省</w:t>
            </w:r>
            <w:r>
              <w:rPr>
                <w:rFonts w:hint="eastAsia" w:ascii="宋体" w:hAnsi="宋体" w:cs="微软雅黑"/>
                <w:szCs w:val="21"/>
              </w:rPr>
              <w:t>级</w:t>
            </w:r>
            <w:r>
              <w:rPr>
                <w:rFonts w:hint="eastAsia" w:ascii="宋体" w:hAnsi="宋体" w:cs="MS Mincho"/>
                <w:szCs w:val="21"/>
              </w:rPr>
              <w:t>及国家</w:t>
            </w:r>
            <w:r>
              <w:rPr>
                <w:rFonts w:hint="eastAsia" w:ascii="宋体" w:hAnsi="宋体" w:cs="微软雅黑"/>
                <w:szCs w:val="21"/>
              </w:rPr>
              <w:t>级</w:t>
            </w:r>
            <w:r>
              <w:rPr>
                <w:rFonts w:hint="eastAsia" w:ascii="宋体" w:hAnsi="宋体" w:cs="MS Mincho"/>
                <w:szCs w:val="21"/>
              </w:rPr>
              <w:t>人才</w:t>
            </w:r>
            <w:r>
              <w:rPr>
                <w:rFonts w:hint="eastAsia" w:ascii="宋体" w:hAnsi="宋体" w:cs="微软雅黑"/>
                <w:szCs w:val="21"/>
              </w:rPr>
              <w:t>项</w:t>
            </w:r>
            <w:r>
              <w:rPr>
                <w:rFonts w:hint="eastAsia" w:ascii="宋体" w:hAnsi="宋体" w:cs="MS Mincho"/>
                <w:szCs w:val="21"/>
              </w:rPr>
              <w:t>目，争取</w:t>
            </w:r>
            <w:r>
              <w:rPr>
                <w:rFonts w:hint="eastAsia" w:ascii="宋体" w:hAnsi="宋体" w:cs="微软雅黑"/>
                <w:szCs w:val="21"/>
              </w:rPr>
              <w:t>总经费</w:t>
            </w:r>
            <w:r>
              <w:rPr>
                <w:rFonts w:hint="eastAsia" w:ascii="宋体" w:hAnsi="宋体" w:cs="MS Mincho"/>
                <w:szCs w:val="21"/>
              </w:rPr>
              <w:t>累</w:t>
            </w:r>
            <w:r>
              <w:rPr>
                <w:rFonts w:hint="eastAsia" w:ascii="宋体" w:hAnsi="宋体" w:cs="微软雅黑"/>
                <w:szCs w:val="21"/>
              </w:rPr>
              <w:t>计</w:t>
            </w:r>
            <w:r>
              <w:rPr>
                <w:rFonts w:hint="eastAsia" w:ascii="宋体" w:hAnsi="宋体" w:cs="MS Mincho"/>
                <w:szCs w:val="21"/>
              </w:rPr>
              <w:t>不低于</w:t>
            </w:r>
            <w:r>
              <w:rPr>
                <w:rFonts w:hint="eastAsia" w:ascii="宋体" w:hAnsi="宋体"/>
                <w:szCs w:val="21"/>
              </w:rPr>
              <w:t>50万元；以第一作者或通</w:t>
            </w:r>
            <w:r>
              <w:rPr>
                <w:rFonts w:hint="eastAsia" w:ascii="宋体" w:hAnsi="宋体" w:cs="微软雅黑"/>
                <w:szCs w:val="21"/>
              </w:rPr>
              <w:t>讯</w:t>
            </w:r>
            <w:r>
              <w:rPr>
                <w:rFonts w:hint="eastAsia" w:ascii="宋体" w:hAnsi="宋体" w:cs="MS Mincho"/>
                <w:szCs w:val="21"/>
              </w:rPr>
              <w:t>作者，西北</w:t>
            </w:r>
            <w:r>
              <w:rPr>
                <w:rFonts w:hint="eastAsia" w:ascii="宋体" w:hAnsi="宋体" w:cs="微软雅黑"/>
                <w:szCs w:val="21"/>
              </w:rPr>
              <w:t>农</w:t>
            </w:r>
            <w:r>
              <w:rPr>
                <w:rFonts w:hint="eastAsia" w:ascii="宋体" w:hAnsi="宋体" w:cs="MS Mincho"/>
                <w:szCs w:val="21"/>
              </w:rPr>
              <w:t>林科技大学</w:t>
            </w:r>
            <w:r>
              <w:rPr>
                <w:rFonts w:hint="eastAsia" w:ascii="宋体" w:hAnsi="宋体" w:cs="微软雅黑"/>
                <w:szCs w:val="21"/>
              </w:rPr>
              <w:t>为</w:t>
            </w:r>
            <w:r>
              <w:rPr>
                <w:rFonts w:hint="eastAsia" w:ascii="宋体" w:hAnsi="宋体" w:cs="MS Mincho"/>
                <w:szCs w:val="21"/>
              </w:rPr>
              <w:t>第一完成</w:t>
            </w:r>
            <w:r>
              <w:rPr>
                <w:rFonts w:hint="eastAsia" w:ascii="宋体" w:hAnsi="宋体" w:cs="微软雅黑"/>
                <w:szCs w:val="21"/>
              </w:rPr>
              <w:t>单</w:t>
            </w:r>
            <w:r>
              <w:rPr>
                <w:rFonts w:hint="eastAsia" w:ascii="宋体" w:hAnsi="宋体" w:cs="MS Mincho"/>
                <w:szCs w:val="21"/>
              </w:rPr>
              <w:t>位，</w:t>
            </w:r>
            <w:r>
              <w:rPr>
                <w:rFonts w:hint="eastAsia" w:ascii="宋体" w:hAnsi="宋体" w:cs="微软雅黑"/>
                <w:szCs w:val="21"/>
              </w:rPr>
              <w:t>发</w:t>
            </w:r>
            <w:r>
              <w:rPr>
                <w:rFonts w:hint="eastAsia" w:ascii="宋体" w:hAnsi="宋体" w:cs="MS Mincho"/>
                <w:szCs w:val="21"/>
              </w:rPr>
              <w:t>表</w:t>
            </w:r>
            <w:r>
              <w:rPr>
                <w:rFonts w:hint="eastAsia" w:ascii="宋体" w:hAnsi="宋体"/>
                <w:szCs w:val="21"/>
              </w:rPr>
              <w:t>SCI</w:t>
            </w:r>
            <w:r>
              <w:rPr>
                <w:rFonts w:hint="eastAsia" w:ascii="宋体" w:hAnsi="宋体" w:cs="微软雅黑"/>
                <w:szCs w:val="21"/>
              </w:rPr>
              <w:t>论</w:t>
            </w:r>
            <w:r>
              <w:rPr>
                <w:rFonts w:hint="eastAsia" w:ascii="宋体" w:hAnsi="宋体" w:cs="MS Mincho"/>
                <w:szCs w:val="21"/>
              </w:rPr>
              <w:t>文</w:t>
            </w:r>
            <w:r>
              <w:rPr>
                <w:rFonts w:hint="eastAsia" w:ascii="宋体" w:hAnsi="宋体"/>
                <w:szCs w:val="21"/>
              </w:rPr>
              <w:t>3-5篇，其中中科院系</w:t>
            </w:r>
            <w:r>
              <w:rPr>
                <w:rFonts w:hint="eastAsia" w:ascii="宋体" w:hAnsi="宋体" w:cs="微软雅黑"/>
                <w:szCs w:val="21"/>
              </w:rPr>
              <w:t>统</w:t>
            </w:r>
            <w:r>
              <w:rPr>
                <w:rFonts w:hint="eastAsia" w:ascii="宋体" w:hAnsi="宋体" w:cs="MS Mincho"/>
                <w:szCs w:val="21"/>
              </w:rPr>
              <w:t>二区</w:t>
            </w:r>
            <w:r>
              <w:rPr>
                <w:rFonts w:hint="eastAsia" w:ascii="宋体" w:hAnsi="宋体" w:cs="微软雅黑"/>
                <w:szCs w:val="21"/>
              </w:rPr>
              <w:t>论</w:t>
            </w:r>
            <w:r>
              <w:rPr>
                <w:rFonts w:hint="eastAsia" w:ascii="宋体" w:hAnsi="宋体" w:cs="MS Mincho"/>
                <w:szCs w:val="21"/>
              </w:rPr>
              <w:t>文不少于</w:t>
            </w:r>
            <w:r>
              <w:rPr>
                <w:rFonts w:hint="eastAsia" w:ascii="宋体" w:hAnsi="宋体"/>
                <w:szCs w:val="21"/>
              </w:rPr>
              <w:t>2篇或影响因子5.0以上</w:t>
            </w:r>
            <w:r>
              <w:rPr>
                <w:rFonts w:hint="eastAsia" w:ascii="宋体" w:hAnsi="宋体" w:cs="微软雅黑"/>
                <w:szCs w:val="21"/>
              </w:rPr>
              <w:t>论</w:t>
            </w:r>
            <w:r>
              <w:rPr>
                <w:rFonts w:hint="eastAsia" w:ascii="宋体" w:hAnsi="宋体" w:cs="MS Mincho"/>
                <w:szCs w:val="21"/>
              </w:rPr>
              <w:t>文</w:t>
            </w:r>
            <w:r>
              <w:rPr>
                <w:rFonts w:hint="eastAsia" w:ascii="宋体" w:hAnsi="宋体"/>
                <w:szCs w:val="21"/>
              </w:rPr>
              <w:t>1篇。</w:t>
            </w:r>
          </w:p>
          <w:p>
            <w:pPr>
              <w:rPr>
                <w:rFonts w:ascii="仿宋_GB2312" w:hAnsi="仿宋_GB2312" w:eastAsia="仿宋_GB2312"/>
                <w:sz w:val="28"/>
                <w:szCs w:val="28"/>
              </w:rPr>
            </w:pPr>
          </w:p>
        </w:tc>
      </w:tr>
    </w:tbl>
    <w:p>
      <w:pPr>
        <w:rPr>
          <w:rFonts w:ascii="仿宋_GB2312" w:hAnsi="仿宋_GB2312" w:eastAsia="仿宋_GB2312"/>
          <w:sz w:val="28"/>
          <w:szCs w:val="28"/>
        </w:rPr>
      </w:pPr>
      <w:r>
        <w:rPr>
          <w:rFonts w:hint="eastAsia" w:ascii="仿宋_GB2312" w:hAnsi="仿宋_GB2312" w:eastAsia="仿宋_GB2312"/>
          <w:sz w:val="28"/>
          <w:szCs w:val="28"/>
        </w:rPr>
        <w:t>三、个人思想品德情况</w:t>
      </w:r>
    </w:p>
    <w:tbl>
      <w:tblPr>
        <w:tblStyle w:val="7"/>
        <w:tblW w:w="9351" w:type="dxa"/>
        <w:tblInd w:w="-426" w:type="dxa"/>
        <w:tblLayout w:type="fixed"/>
        <w:tblCellMar>
          <w:top w:w="0" w:type="dxa"/>
          <w:left w:w="10" w:type="dxa"/>
          <w:bottom w:w="0" w:type="dxa"/>
          <w:right w:w="10" w:type="dxa"/>
        </w:tblCellMar>
      </w:tblPr>
      <w:tblGrid>
        <w:gridCol w:w="9351"/>
      </w:tblGrid>
      <w:tr>
        <w:tblPrEx>
          <w:tblLayout w:type="fixed"/>
          <w:tblCellMar>
            <w:top w:w="0" w:type="dxa"/>
            <w:left w:w="10" w:type="dxa"/>
            <w:bottom w:w="0" w:type="dxa"/>
            <w:right w:w="10" w:type="dxa"/>
          </w:tblCellMar>
        </w:tblPrEx>
        <w:trPr>
          <w:trHeight w:val="465" w:hRule="atLeast"/>
        </w:trPr>
        <w:tc>
          <w:tcPr>
            <w:tcW w:w="935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left"/>
              <w:rPr>
                <w:rFonts w:ascii="仿宋_GB2312" w:hAnsi="仿宋_GB2312" w:eastAsia="仿宋_GB2312"/>
                <w:i/>
                <w:color w:val="404040"/>
                <w:sz w:val="24"/>
              </w:rPr>
            </w:pPr>
            <w:r>
              <w:rPr>
                <w:rFonts w:hint="eastAsia" w:ascii="仿宋_GB2312" w:hAnsi="仿宋_GB2312" w:eastAsia="仿宋_GB2312"/>
                <w:i/>
                <w:color w:val="404040"/>
                <w:sz w:val="24"/>
              </w:rPr>
              <w:t>请对本人思想政治表现（政治立场、遵守国家法律法规、学校规章制度）、遵守师德师风、学术道德行为等情况作出说明。</w:t>
            </w:r>
          </w:p>
          <w:p>
            <w:pPr>
              <w:rPr>
                <w:rFonts w:ascii="宋体" w:hAnsi="宋体"/>
                <w:szCs w:val="21"/>
              </w:rPr>
            </w:pPr>
            <w:r>
              <w:rPr>
                <w:rFonts w:hint="eastAsia" w:ascii="宋体" w:hAnsi="宋体"/>
                <w:szCs w:val="21"/>
              </w:rPr>
              <w:t xml:space="preserve">    </w:t>
            </w:r>
            <w:r>
              <w:rPr>
                <w:rFonts w:ascii="宋体" w:hAnsi="宋体"/>
                <w:szCs w:val="21"/>
              </w:rPr>
              <w:t>本人坚持四项基本原则，拥护党的路线方针政策，热爱祖国，遵纪守法，遵守校纪校规，政治上积极要求进步，注重对党章及党的理论政策的学习，</w:t>
            </w:r>
            <w:r>
              <w:rPr>
                <w:rFonts w:hint="eastAsia" w:ascii="宋体" w:hAnsi="宋体"/>
                <w:szCs w:val="21"/>
              </w:rPr>
              <w:t>认真学习习近平新时代中国特色社会主义思想和党的十九大精神等党的理论政策，</w:t>
            </w:r>
            <w:r>
              <w:rPr>
                <w:rFonts w:ascii="宋体" w:hAnsi="宋体"/>
                <w:szCs w:val="21"/>
              </w:rPr>
              <w:t>政治立场坚定，</w:t>
            </w:r>
            <w:r>
              <w:rPr>
                <w:rFonts w:hint="eastAsia" w:ascii="宋体" w:hAnsi="宋体"/>
                <w:szCs w:val="21"/>
              </w:rPr>
              <w:t>牢固树立四个意识，坚定四个自信，坚决做到两个维护。</w:t>
            </w:r>
            <w:r>
              <w:rPr>
                <w:rFonts w:ascii="宋体" w:hAnsi="宋体"/>
                <w:szCs w:val="21"/>
              </w:rPr>
              <w:t>思想和行动始终与党组织保持高度一致</w:t>
            </w:r>
            <w:r>
              <w:rPr>
                <w:rFonts w:hint="eastAsia" w:ascii="宋体" w:hAnsi="宋体"/>
                <w:szCs w:val="21"/>
              </w:rPr>
              <w:t>。</w:t>
            </w:r>
          </w:p>
          <w:p>
            <w:pPr>
              <w:rPr>
                <w:rFonts w:ascii="宋体" w:hAnsi="宋体"/>
                <w:szCs w:val="21"/>
              </w:rPr>
            </w:pPr>
            <w:r>
              <w:rPr>
                <w:rFonts w:hint="eastAsia" w:ascii="宋体" w:hAnsi="宋体"/>
                <w:szCs w:val="21"/>
              </w:rPr>
              <w:t xml:space="preserve">    </w:t>
            </w:r>
            <w:r>
              <w:rPr>
                <w:rFonts w:ascii="宋体" w:hAnsi="宋体"/>
                <w:szCs w:val="21"/>
              </w:rPr>
              <w:t>工作</w:t>
            </w:r>
            <w:r>
              <w:rPr>
                <w:rFonts w:hint="eastAsia" w:ascii="宋体" w:hAnsi="宋体"/>
                <w:szCs w:val="21"/>
              </w:rPr>
              <w:t>生活</w:t>
            </w:r>
            <w:r>
              <w:rPr>
                <w:rFonts w:ascii="宋体" w:hAnsi="宋体"/>
                <w:szCs w:val="21"/>
              </w:rPr>
              <w:t>上兢兢业业，严以律己，宽以待人，团结同志，乐于助人。</w:t>
            </w:r>
            <w:r>
              <w:rPr>
                <w:rFonts w:hint="eastAsia" w:ascii="宋体" w:hAnsi="宋体"/>
                <w:szCs w:val="21"/>
              </w:rPr>
              <w:t>在科研上</w:t>
            </w:r>
            <w:r>
              <w:rPr>
                <w:rFonts w:ascii="宋体" w:hAnsi="宋体"/>
                <w:szCs w:val="21"/>
              </w:rPr>
              <w:t>求真务实、锐意进取</w:t>
            </w:r>
            <w:r>
              <w:rPr>
                <w:rFonts w:hint="eastAsia" w:ascii="宋体" w:hAnsi="宋体"/>
                <w:szCs w:val="21"/>
              </w:rPr>
              <w:t>，严守职业道德和学术道德。在教学中，态度端正，对教学工作富有热情，教学效果好，为人师表，热爱学生。</w:t>
            </w:r>
          </w:p>
          <w:p>
            <w:pPr>
              <w:rPr>
                <w:rFonts w:ascii="仿宋_GB2312" w:hAnsi="仿宋_GB2312" w:eastAsia="仿宋_GB2312"/>
                <w:sz w:val="28"/>
                <w:szCs w:val="28"/>
              </w:rPr>
            </w:pPr>
          </w:p>
        </w:tc>
      </w:tr>
    </w:tbl>
    <w:p>
      <w:pPr>
        <w:rPr>
          <w:rFonts w:ascii="仿宋_GB2312" w:hAnsi="仿宋_GB2312" w:eastAsia="仿宋_GB2312"/>
          <w:sz w:val="28"/>
          <w:szCs w:val="28"/>
        </w:rPr>
      </w:pPr>
    </w:p>
    <w:p>
      <w:pPr>
        <w:rPr>
          <w:rFonts w:ascii="仿宋_GB2312" w:hAnsi="仿宋_GB2312" w:eastAsia="仿宋_GB2312"/>
          <w:sz w:val="28"/>
          <w:szCs w:val="28"/>
        </w:rPr>
      </w:pPr>
      <w:r>
        <w:rPr>
          <w:rFonts w:hint="eastAsia" w:ascii="仿宋_GB2312" w:hAnsi="仿宋_GB2312" w:eastAsia="仿宋_GB2312"/>
          <w:sz w:val="28"/>
          <w:szCs w:val="28"/>
        </w:rPr>
        <w:t>四、主要研究内容及工作进展（限2000字以内）</w:t>
      </w:r>
    </w:p>
    <w:tbl>
      <w:tblPr>
        <w:tblStyle w:val="7"/>
        <w:tblW w:w="9351" w:type="dxa"/>
        <w:tblInd w:w="-426" w:type="dxa"/>
        <w:tblLayout w:type="fixed"/>
        <w:tblCellMar>
          <w:top w:w="0" w:type="dxa"/>
          <w:left w:w="10" w:type="dxa"/>
          <w:bottom w:w="0" w:type="dxa"/>
          <w:right w:w="10" w:type="dxa"/>
        </w:tblCellMar>
      </w:tblPr>
      <w:tblGrid>
        <w:gridCol w:w="9351"/>
      </w:tblGrid>
      <w:tr>
        <w:tblPrEx>
          <w:tblLayout w:type="fixed"/>
          <w:tblCellMar>
            <w:top w:w="0" w:type="dxa"/>
            <w:left w:w="10" w:type="dxa"/>
            <w:bottom w:w="0" w:type="dxa"/>
            <w:right w:w="10" w:type="dxa"/>
          </w:tblCellMar>
        </w:tblPrEx>
        <w:trPr>
          <w:trHeight w:val="465" w:hRule="atLeast"/>
        </w:trPr>
        <w:tc>
          <w:tcPr>
            <w:tcW w:w="935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320" w:lineRule="exact"/>
              <w:jc w:val="center"/>
              <w:rPr>
                <w:rFonts w:ascii="Calibri" w:hAnsi="Calibri" w:eastAsia="Calibri"/>
                <w:szCs w:val="21"/>
              </w:rPr>
            </w:pPr>
            <w:r>
              <w:rPr>
                <w:rFonts w:ascii="Calibri" w:hAnsi="Calibri" w:eastAsia="Calibri"/>
                <w:szCs w:val="21"/>
              </w:rPr>
              <w:t>（</w:t>
            </w:r>
            <w:r>
              <w:rPr>
                <w:rFonts w:hint="eastAsia" w:ascii="Calibri" w:hAnsi="Calibri" w:eastAsia="Calibri"/>
                <w:szCs w:val="21"/>
              </w:rPr>
              <w:t>一）细胞核</w:t>
            </w:r>
            <w:r>
              <w:rPr>
                <w:rFonts w:ascii="Calibri" w:hAnsi="Calibri" w:eastAsia="Calibri"/>
                <w:szCs w:val="21"/>
              </w:rPr>
              <w:t>定位效应蛋白E49的毒性机理解析</w:t>
            </w:r>
          </w:p>
          <w:p>
            <w:pPr>
              <w:spacing w:line="320" w:lineRule="exact"/>
              <w:ind w:firstLine="480"/>
              <w:rPr>
                <w:rFonts w:ascii="Calibri" w:hAnsi="Calibri" w:eastAsia="Calibri"/>
                <w:szCs w:val="21"/>
              </w:rPr>
            </w:pPr>
            <w:r>
              <w:rPr>
                <w:rFonts w:hint="eastAsia" w:ascii="Calibri" w:hAnsi="Calibri" w:eastAsia="Calibri"/>
                <w:szCs w:val="21"/>
              </w:rPr>
              <w:t>由致病疫霉菌(</w:t>
            </w:r>
            <w:r>
              <w:rPr>
                <w:rFonts w:hint="eastAsia" w:ascii="Calibri" w:hAnsi="Calibri" w:eastAsia="Calibri"/>
                <w:i/>
                <w:szCs w:val="21"/>
              </w:rPr>
              <w:t>Phytophthora infestans</w:t>
            </w:r>
            <w:r>
              <w:rPr>
                <w:rFonts w:hint="eastAsia" w:ascii="Calibri" w:hAnsi="Calibri" w:eastAsia="Calibri"/>
                <w:szCs w:val="21"/>
              </w:rPr>
              <w:t>)引起的马铃薯晚疫病严重威胁着马铃薯生产，每年在全球范围内造成巨大经济损失。致病疫霉菌通过向</w:t>
            </w:r>
            <w:r>
              <w:rPr>
                <w:rFonts w:ascii="Calibri" w:hAnsi="Calibri" w:eastAsia="Calibri"/>
                <w:szCs w:val="21"/>
              </w:rPr>
              <w:t>寄主植物中分泌效应蛋白，</w:t>
            </w:r>
            <w:r>
              <w:rPr>
                <w:rFonts w:hint="eastAsia" w:ascii="Calibri" w:hAnsi="Calibri" w:eastAsia="Calibri"/>
                <w:szCs w:val="21"/>
              </w:rPr>
              <w:t>调控植物</w:t>
            </w:r>
            <w:r>
              <w:rPr>
                <w:rFonts w:ascii="Calibri" w:hAnsi="Calibri" w:eastAsia="Calibri"/>
                <w:szCs w:val="21"/>
              </w:rPr>
              <w:t>免疫反应，促进对植物的</w:t>
            </w:r>
            <w:r>
              <w:rPr>
                <w:rFonts w:hint="eastAsia" w:ascii="Calibri" w:hAnsi="Calibri" w:eastAsia="Calibri"/>
                <w:szCs w:val="21"/>
              </w:rPr>
              <w:t>侵染</w:t>
            </w:r>
            <w:r>
              <w:rPr>
                <w:rFonts w:ascii="Calibri" w:hAnsi="Calibri" w:eastAsia="Calibri"/>
                <w:szCs w:val="21"/>
              </w:rPr>
              <w:t>。</w:t>
            </w:r>
            <w:r>
              <w:rPr>
                <w:rFonts w:hint="eastAsia" w:ascii="Calibri" w:hAnsi="Calibri" w:eastAsia="Calibri"/>
                <w:szCs w:val="21"/>
              </w:rPr>
              <w:t>E49是晚疫病菌</w:t>
            </w:r>
            <w:r>
              <w:rPr>
                <w:rFonts w:ascii="Calibri" w:hAnsi="Calibri" w:eastAsia="Calibri"/>
                <w:szCs w:val="21"/>
              </w:rPr>
              <w:t>的一个</w:t>
            </w:r>
            <w:r>
              <w:rPr>
                <w:rFonts w:hint="eastAsia" w:ascii="Calibri" w:hAnsi="Calibri" w:eastAsia="Calibri"/>
                <w:szCs w:val="21"/>
              </w:rPr>
              <w:t>RXLR</w:t>
            </w:r>
            <w:r>
              <w:rPr>
                <w:rFonts w:ascii="Calibri" w:hAnsi="Calibri" w:eastAsia="Calibri"/>
                <w:szCs w:val="21"/>
              </w:rPr>
              <w:t>效应基</w:t>
            </w:r>
            <w:r>
              <w:rPr>
                <w:rFonts w:hint="eastAsia" w:ascii="Calibri" w:hAnsi="Calibri" w:eastAsia="Calibri"/>
                <w:szCs w:val="21"/>
              </w:rPr>
              <w:t>因，定位</w:t>
            </w:r>
            <w:r>
              <w:rPr>
                <w:rFonts w:ascii="Calibri" w:hAnsi="Calibri" w:eastAsia="Calibri"/>
                <w:szCs w:val="21"/>
              </w:rPr>
              <w:t>于细胞质和细胞核，且在细胞核中具有核散斑结构。</w:t>
            </w:r>
            <w:r>
              <w:rPr>
                <w:rFonts w:hint="eastAsia" w:ascii="Calibri" w:hAnsi="Calibri" w:eastAsia="Calibri"/>
                <w:szCs w:val="21"/>
              </w:rPr>
              <w:t>解析</w:t>
            </w:r>
            <w:r>
              <w:rPr>
                <w:rFonts w:ascii="Calibri" w:hAnsi="Calibri" w:eastAsia="Calibri"/>
                <w:szCs w:val="21"/>
              </w:rPr>
              <w:t>效应基因毒性机理</w:t>
            </w:r>
            <w:r>
              <w:rPr>
                <w:rFonts w:hint="eastAsia" w:ascii="Calibri" w:hAnsi="Calibri" w:eastAsia="Calibri"/>
                <w:szCs w:val="21"/>
              </w:rPr>
              <w:t>于对进一步解析致病疫霉菌与寄主植物的互作机制有重要的意义，将为马铃薯晚疫病菌的防治提供新的思路。</w:t>
            </w:r>
          </w:p>
          <w:p>
            <w:pPr>
              <w:spacing w:line="320" w:lineRule="exact"/>
              <w:ind w:firstLine="480"/>
              <w:rPr>
                <w:rFonts w:ascii="Calibri" w:hAnsi="Calibri" w:eastAsia="Calibri"/>
                <w:szCs w:val="21"/>
              </w:rPr>
            </w:pPr>
            <w:r>
              <w:rPr>
                <w:rFonts w:hint="eastAsia" w:ascii="Calibri" w:hAnsi="Calibri" w:eastAsia="Calibri"/>
                <w:szCs w:val="21"/>
              </w:rPr>
              <w:t>因此</w:t>
            </w:r>
            <w:r>
              <w:rPr>
                <w:rFonts w:ascii="Calibri" w:hAnsi="Calibri" w:eastAsia="Calibri"/>
                <w:szCs w:val="21"/>
              </w:rPr>
              <w:t>，我们</w:t>
            </w:r>
            <w:r>
              <w:rPr>
                <w:rFonts w:hint="eastAsia" w:ascii="Calibri" w:hAnsi="Calibri" w:eastAsia="Calibri"/>
                <w:szCs w:val="21"/>
              </w:rPr>
              <w:t>对E49</w:t>
            </w:r>
            <w:r>
              <w:rPr>
                <w:rFonts w:ascii="Calibri" w:hAnsi="Calibri" w:eastAsia="Calibri"/>
                <w:szCs w:val="21"/>
              </w:rPr>
              <w:t>的毒性功能以及不同亚细胞定位对毒性</w:t>
            </w:r>
            <w:r>
              <w:rPr>
                <w:rFonts w:hint="eastAsia" w:ascii="Calibri" w:hAnsi="Calibri" w:eastAsia="Calibri"/>
                <w:szCs w:val="21"/>
              </w:rPr>
              <w:t>功能</w:t>
            </w:r>
            <w:r>
              <w:rPr>
                <w:rFonts w:ascii="Calibri" w:hAnsi="Calibri" w:eastAsia="Calibri"/>
                <w:szCs w:val="21"/>
              </w:rPr>
              <w:t>的影响，以及E49的寄主靶标进行了研究。</w:t>
            </w:r>
          </w:p>
          <w:p>
            <w:pPr>
              <w:spacing w:line="320" w:lineRule="exact"/>
              <w:ind w:firstLine="482"/>
              <w:rPr>
                <w:rFonts w:ascii="楷体" w:hAnsi="楷体" w:eastAsia="楷体" w:cs="楷体"/>
                <w:szCs w:val="21"/>
              </w:rPr>
            </w:pPr>
            <w:r>
              <w:rPr>
                <w:rFonts w:hint="eastAsia" w:eastAsia="Calibri"/>
                <w:szCs w:val="21"/>
              </w:rPr>
              <w:t>1</w:t>
            </w:r>
            <w:r>
              <w:rPr>
                <w:rFonts w:hint="eastAsia" w:ascii="楷体" w:hAnsi="楷体" w:eastAsia="楷体" w:cs="楷体"/>
                <w:szCs w:val="21"/>
              </w:rPr>
              <w:t xml:space="preserve"> E49毒性功能的鉴定</w:t>
            </w:r>
          </w:p>
          <w:p>
            <w:pPr>
              <w:spacing w:line="320" w:lineRule="exact"/>
              <w:ind w:firstLine="480"/>
              <w:rPr>
                <w:rFonts w:eastAsia="Calibri"/>
                <w:szCs w:val="21"/>
              </w:rPr>
            </w:pPr>
            <w:r>
              <w:rPr>
                <w:rFonts w:eastAsia="Calibri"/>
                <w:szCs w:val="21"/>
              </w:rPr>
              <w:t>试验前期对E49的亚细胞定位进行研究，发现其主要定位于细胞核，存在类似于核散斑的亚核结构。通过农杆菌介导的瞬时转化法将E49在烟草叶片中进行瞬时表达，叶片左半边注射GUS，右半边注射E49，农杆菌转化一天后接种晚疫病菌孢子悬浮液，接种5天后测量病斑直径，计算病斑面积。结果表明E49显著的促进了晚疫病菌对本氏烟草的侵染。此外，根据NLStradamus 对E49的序列进行分析（</w:t>
            </w:r>
            <w:r>
              <w:fldChar w:fldCharType="begin"/>
            </w:r>
            <w:r>
              <w:instrText xml:space="preserve"> HYPERLINK "http://www.moseslab.csb.utoronto.ca/NLStradamus/" </w:instrText>
            </w:r>
            <w:r>
              <w:fldChar w:fldCharType="separate"/>
            </w:r>
            <w:r>
              <w:rPr>
                <w:rFonts w:eastAsia="Calibri"/>
                <w:color w:val="0563C1"/>
                <w:szCs w:val="21"/>
                <w:u w:val="single"/>
              </w:rPr>
              <w:t>http://www.moseslab.csb.utoronto.ca/NLStradamus/</w:t>
            </w:r>
            <w:r>
              <w:rPr>
                <w:rFonts w:eastAsia="Calibri"/>
                <w:color w:val="0563C1"/>
                <w:szCs w:val="21"/>
                <w:u w:val="single"/>
              </w:rPr>
              <w:fldChar w:fldCharType="end"/>
            </w:r>
            <w:r>
              <w:rPr>
                <w:rFonts w:eastAsia="Calibri"/>
                <w:szCs w:val="21"/>
              </w:rPr>
              <w:t>; cut-off value of 0.3），发现E49末端包含一个核定位信号。为了确认E49的细胞核定位是否与其毒性功能相关，我们分别构建了连接有出核信号（nuclear export signal, NES）以及豆蔻酸酰化(Myristolation, myr)信号的E49表达载体，通过亚细胞定位发现，GFP-E49-NES以及myr-GFP-E49蛋白在细胞核中的定位大大减弱，而细胞质和细胞膜定位显著提高。通过接种晚疫病菌，发现，GFP-E49-NES以及myr-GFP-E49都仍然促进晚疫病菌的侵染，表明E49细胞质或者细胞核中均可以促进晚疫病菌的侵染。预示着E49可能在细胞核以及细胞质中都存在靶标，或者其靶标在细胞质和细胞核中都有定位。</w:t>
            </w:r>
          </w:p>
          <w:p>
            <w:pPr>
              <w:spacing w:line="320" w:lineRule="exact"/>
              <w:ind w:firstLine="482"/>
              <w:rPr>
                <w:rFonts w:ascii="楷体" w:hAnsi="楷体" w:eastAsia="楷体" w:cs="楷体"/>
                <w:szCs w:val="21"/>
              </w:rPr>
            </w:pPr>
            <w:r>
              <w:rPr>
                <w:rFonts w:hint="eastAsia" w:ascii="楷体" w:hAnsi="楷体" w:eastAsia="楷体" w:cs="楷体"/>
                <w:szCs w:val="21"/>
              </w:rPr>
              <w:t>2 E49寄主靶标的筛选及鉴定</w:t>
            </w:r>
          </w:p>
          <w:p>
            <w:pPr>
              <w:spacing w:line="320" w:lineRule="exact"/>
              <w:ind w:firstLine="480"/>
              <w:rPr>
                <w:rFonts w:eastAsia="Calibri"/>
                <w:szCs w:val="21"/>
              </w:rPr>
            </w:pPr>
            <w:r>
              <w:rPr>
                <w:rFonts w:eastAsia="Calibri"/>
                <w:szCs w:val="21"/>
              </w:rPr>
              <w:t>实验室构建了晚疫病菌侵染12小时后的番茄cDNA酵母双杂文库，用E49为诱饵，筛选了酵母文库，获得约30多个候选互作蛋白，通过酵母双杂交验证，最终确定了一个基因RIP37与E49互作，互作酵母可以在筛选培养基上正常生长并在X-a-gal条件下显示蓝色。</w:t>
            </w:r>
          </w:p>
          <w:p>
            <w:pPr>
              <w:spacing w:line="320" w:lineRule="exact"/>
              <w:ind w:firstLine="480"/>
              <w:rPr>
                <w:rFonts w:eastAsia="Calibri"/>
                <w:szCs w:val="21"/>
              </w:rPr>
            </w:pPr>
            <w:r>
              <w:rPr>
                <w:rFonts w:eastAsia="Calibri"/>
                <w:szCs w:val="21"/>
              </w:rPr>
              <w:t>为验证E49与RIP37的互作，我们构建了RIP37全长基因RIP37-AD载体，并与E49-BD进行酵母共转化，共转化子同样在筛选培养基SD-LW+X-a-Gal显示蓝色，与阳性对照一致。</w:t>
            </w:r>
          </w:p>
          <w:p>
            <w:pPr>
              <w:spacing w:line="320" w:lineRule="exact"/>
              <w:ind w:firstLine="480"/>
              <w:rPr>
                <w:rFonts w:eastAsia="Calibri"/>
                <w:szCs w:val="21"/>
              </w:rPr>
            </w:pPr>
            <w:r>
              <w:rPr>
                <w:rFonts w:eastAsia="Calibri"/>
                <w:szCs w:val="21"/>
              </w:rPr>
              <w:t>我们采用蛋白质免疫共沉淀（Co-immunoprecipitation, Co-IP）的方法对E49与RIP37的互作进行了进一步确认。我们构建了RIP37-GFP，E49-myc，以及对照E47-myc和AVRx-myc 载体，采用农杆菌介导的瞬时表达方法在本氏烟草叶片中同时表达GFP融合蛋白与myc融合蛋白，以E47-myc和AVRx-myc共表达为对照，并采用Co-IP 技术验证RIP37-GFP，E49-myc的互作情况。试验结果表明RIP37-GFP，E49-myc 互作。此外</w:t>
            </w:r>
            <w:r>
              <w:rPr>
                <w:rFonts w:hint="eastAsia" w:eastAsia="Calibri"/>
                <w:szCs w:val="21"/>
              </w:rPr>
              <w:t>,</w:t>
            </w:r>
            <w:r>
              <w:rPr>
                <w:rFonts w:eastAsia="Calibri"/>
                <w:szCs w:val="21"/>
              </w:rPr>
              <w:t>我们采用双分子荧光互补方法（bi-molecular fluorescent complementation, BiFC）</w:t>
            </w:r>
            <w:r>
              <w:rPr>
                <w:rFonts w:hint="eastAsia" w:eastAsia="Calibri"/>
                <w:szCs w:val="21"/>
              </w:rPr>
              <w:t>对</w:t>
            </w:r>
            <w:r>
              <w:rPr>
                <w:rFonts w:eastAsia="Calibri"/>
                <w:szCs w:val="21"/>
              </w:rPr>
              <w:t>E49与RIP37的互作进行</w:t>
            </w:r>
            <w:r>
              <w:rPr>
                <w:rFonts w:hint="eastAsia" w:eastAsia="Calibri"/>
                <w:szCs w:val="21"/>
              </w:rPr>
              <w:t>再次</w:t>
            </w:r>
            <w:r>
              <w:rPr>
                <w:rFonts w:eastAsia="Calibri"/>
                <w:szCs w:val="21"/>
              </w:rPr>
              <w:t>确认，构建了E49-Yn, E47-Yn, AVRX-Yn, AVR3a-Yn, RIP37-Yc载体，</w:t>
            </w:r>
            <w:r>
              <w:rPr>
                <w:rFonts w:hint="eastAsia" w:eastAsia="Calibri"/>
                <w:szCs w:val="21"/>
              </w:rPr>
              <w:t>通过</w:t>
            </w:r>
            <w:r>
              <w:rPr>
                <w:rFonts w:eastAsia="Calibri"/>
                <w:szCs w:val="21"/>
              </w:rPr>
              <w:t>农杆菌介导的瞬时表达方法在本氏烟草叶片中同时表达Yn融合蛋白与Yc融合蛋白</w:t>
            </w:r>
            <w:r>
              <w:rPr>
                <w:rFonts w:hint="eastAsia" w:eastAsia="Calibri"/>
                <w:szCs w:val="21"/>
              </w:rPr>
              <w:t>，</w:t>
            </w:r>
            <w:r>
              <w:rPr>
                <w:rFonts w:eastAsia="Calibri"/>
                <w:szCs w:val="21"/>
              </w:rPr>
              <w:t>以E47-Yn, AVRX-Yn, AVR3a-Yn与RIP37-Yc共表达作为对照，再次验证了E49与RIP37的互作。</w:t>
            </w:r>
          </w:p>
          <w:p>
            <w:pPr>
              <w:spacing w:line="320" w:lineRule="exact"/>
              <w:ind w:firstLine="482"/>
              <w:rPr>
                <w:rFonts w:ascii="楷体" w:hAnsi="楷体" w:eastAsia="楷体" w:cs="楷体"/>
                <w:szCs w:val="21"/>
              </w:rPr>
            </w:pPr>
            <w:r>
              <w:rPr>
                <w:rFonts w:hint="eastAsia" w:ascii="楷体" w:hAnsi="楷体" w:eastAsia="楷体" w:cs="楷体"/>
                <w:szCs w:val="21"/>
              </w:rPr>
              <w:t>3 靶标基因抗病功能鉴定</w:t>
            </w:r>
          </w:p>
          <w:p>
            <w:pPr>
              <w:spacing w:line="320" w:lineRule="exact"/>
              <w:ind w:firstLine="480"/>
              <w:rPr>
                <w:rFonts w:eastAsia="Calibri"/>
                <w:szCs w:val="21"/>
              </w:rPr>
            </w:pPr>
            <w:r>
              <w:rPr>
                <w:rFonts w:hint="eastAsia" w:eastAsia="Calibri"/>
                <w:szCs w:val="21"/>
              </w:rPr>
              <w:t>候选</w:t>
            </w:r>
            <w:r>
              <w:rPr>
                <w:rFonts w:eastAsia="Calibri"/>
                <w:szCs w:val="21"/>
              </w:rPr>
              <w:t>靶标基因的</w:t>
            </w:r>
            <w:r>
              <w:rPr>
                <w:rFonts w:hint="eastAsia" w:eastAsia="Calibri"/>
                <w:szCs w:val="21"/>
              </w:rPr>
              <w:t>抗病</w:t>
            </w:r>
            <w:r>
              <w:rPr>
                <w:rFonts w:eastAsia="Calibri"/>
                <w:szCs w:val="21"/>
              </w:rPr>
              <w:t>功能鉴定采用过表达以及基因沉默两种方法进行验证。</w:t>
            </w:r>
            <w:r>
              <w:rPr>
                <w:rFonts w:hint="eastAsia" w:eastAsia="Calibri"/>
                <w:szCs w:val="21"/>
              </w:rPr>
              <w:t>首先，采用</w:t>
            </w:r>
            <w:r>
              <w:rPr>
                <w:rFonts w:eastAsia="Calibri"/>
                <w:szCs w:val="21"/>
              </w:rPr>
              <w:t>农杆菌介导的</w:t>
            </w:r>
            <w:r>
              <w:rPr>
                <w:rFonts w:hint="eastAsia" w:eastAsia="Calibri"/>
                <w:szCs w:val="21"/>
              </w:rPr>
              <w:t>瞬时</w:t>
            </w:r>
            <w:r>
              <w:rPr>
                <w:rFonts w:eastAsia="Calibri"/>
                <w:szCs w:val="21"/>
              </w:rPr>
              <w:t>转化方法对RIP37</w:t>
            </w:r>
            <w:r>
              <w:rPr>
                <w:rFonts w:hint="eastAsia" w:eastAsia="Calibri"/>
                <w:szCs w:val="21"/>
              </w:rPr>
              <w:t>在本氏烟草</w:t>
            </w:r>
            <w:r>
              <w:rPr>
                <w:rFonts w:eastAsia="Calibri"/>
                <w:szCs w:val="21"/>
              </w:rPr>
              <w:t>叶片</w:t>
            </w:r>
            <w:r>
              <w:rPr>
                <w:rFonts w:hint="eastAsia" w:eastAsia="Calibri"/>
                <w:szCs w:val="21"/>
              </w:rPr>
              <w:t>中</w:t>
            </w:r>
            <w:r>
              <w:rPr>
                <w:rFonts w:eastAsia="Calibri"/>
                <w:szCs w:val="21"/>
              </w:rPr>
              <w:t>进行瞬时表达，通过接种晚疫病菌游动孢子悬浮液，鉴定RIP37的</w:t>
            </w:r>
            <w:r>
              <w:rPr>
                <w:rFonts w:hint="eastAsia" w:eastAsia="Calibri"/>
                <w:szCs w:val="21"/>
              </w:rPr>
              <w:t>抗病</w:t>
            </w:r>
            <w:r>
              <w:rPr>
                <w:rFonts w:eastAsia="Calibri"/>
                <w:szCs w:val="21"/>
              </w:rPr>
              <w:t>功能</w:t>
            </w:r>
            <w:r>
              <w:rPr>
                <w:rFonts w:hint="eastAsia" w:eastAsia="Calibri"/>
                <w:szCs w:val="21"/>
              </w:rPr>
              <w:t>。结果</w:t>
            </w:r>
            <w:r>
              <w:rPr>
                <w:rFonts w:eastAsia="Calibri"/>
                <w:szCs w:val="21"/>
              </w:rPr>
              <w:t>表明，过表达RIP37促进了致病疫霉菌对植物的侵染。</w:t>
            </w:r>
            <w:r>
              <w:rPr>
                <w:rFonts w:hint="eastAsia" w:eastAsia="Calibri"/>
                <w:szCs w:val="21"/>
              </w:rPr>
              <w:t>第二</w:t>
            </w:r>
            <w:r>
              <w:rPr>
                <w:rFonts w:eastAsia="Calibri"/>
                <w:szCs w:val="21"/>
              </w:rPr>
              <w:t>，通过病毒诱导基因沉默</w:t>
            </w:r>
            <w:r>
              <w:rPr>
                <w:rFonts w:hint="eastAsia" w:eastAsia="Calibri"/>
                <w:szCs w:val="21"/>
              </w:rPr>
              <w:t>技术，</w:t>
            </w:r>
            <w:r>
              <w:rPr>
                <w:rFonts w:eastAsia="Calibri"/>
                <w:szCs w:val="21"/>
              </w:rPr>
              <w:t>在本氏烟草叶片中沉默RIP37</w:t>
            </w:r>
            <w:r>
              <w:rPr>
                <w:rFonts w:hint="eastAsia" w:eastAsia="Calibri"/>
                <w:szCs w:val="21"/>
              </w:rPr>
              <w:t>基因</w:t>
            </w:r>
            <w:r>
              <w:rPr>
                <w:rFonts w:eastAsia="Calibri"/>
                <w:szCs w:val="21"/>
              </w:rPr>
              <w:t>，通过</w:t>
            </w:r>
            <w:r>
              <w:rPr>
                <w:rFonts w:hint="eastAsia" w:eastAsia="Calibri"/>
                <w:szCs w:val="21"/>
              </w:rPr>
              <w:t>接种</w:t>
            </w:r>
            <w:r>
              <w:rPr>
                <w:rFonts w:eastAsia="Calibri"/>
                <w:szCs w:val="21"/>
              </w:rPr>
              <w:t>晚疫病菌，鉴定RIP37</w:t>
            </w:r>
            <w:r>
              <w:rPr>
                <w:rFonts w:hint="eastAsia" w:eastAsia="Calibri"/>
                <w:szCs w:val="21"/>
              </w:rPr>
              <w:t>的</w:t>
            </w:r>
            <w:r>
              <w:rPr>
                <w:rFonts w:eastAsia="Calibri"/>
                <w:szCs w:val="21"/>
              </w:rPr>
              <w:t>抗病功能。</w:t>
            </w:r>
            <w:r>
              <w:rPr>
                <w:rFonts w:hint="eastAsia" w:eastAsia="Calibri"/>
                <w:szCs w:val="21"/>
              </w:rPr>
              <w:t>以</w:t>
            </w:r>
            <w:r>
              <w:rPr>
                <w:rFonts w:eastAsia="Calibri"/>
                <w:szCs w:val="21"/>
              </w:rPr>
              <w:t>TRV</w:t>
            </w:r>
            <w:r>
              <w:rPr>
                <w:rFonts w:hint="eastAsia" w:eastAsia="Calibri"/>
                <w:szCs w:val="21"/>
              </w:rPr>
              <w:t>：</w:t>
            </w:r>
            <w:r>
              <w:rPr>
                <w:rFonts w:eastAsia="Calibri"/>
                <w:szCs w:val="21"/>
              </w:rPr>
              <w:t>GUS为对照，结果表明沉默了RIP37的植物相比对照</w:t>
            </w:r>
            <w:r>
              <w:rPr>
                <w:rFonts w:hint="eastAsia" w:eastAsia="Calibri"/>
                <w:szCs w:val="21"/>
              </w:rPr>
              <w:t>更</w:t>
            </w:r>
            <w:r>
              <w:rPr>
                <w:rFonts w:eastAsia="Calibri"/>
                <w:szCs w:val="21"/>
              </w:rPr>
              <w:t>抗病</w:t>
            </w:r>
            <w:r>
              <w:rPr>
                <w:rFonts w:hint="eastAsia" w:eastAsia="Calibri"/>
                <w:szCs w:val="21"/>
              </w:rPr>
              <w:t>。</w:t>
            </w:r>
            <w:r>
              <w:rPr>
                <w:rFonts w:eastAsia="Calibri"/>
                <w:szCs w:val="21"/>
              </w:rPr>
              <w:t>结</w:t>
            </w:r>
            <w:r>
              <w:rPr>
                <w:rFonts w:hint="eastAsia" w:eastAsia="Calibri"/>
                <w:szCs w:val="21"/>
              </w:rPr>
              <w:t>合</w:t>
            </w:r>
            <w:r>
              <w:rPr>
                <w:rFonts w:eastAsia="Calibri"/>
                <w:szCs w:val="21"/>
              </w:rPr>
              <w:t>过表达以及基因沉默结果，</w:t>
            </w:r>
            <w:r>
              <w:rPr>
                <w:rFonts w:hint="eastAsia" w:eastAsia="Calibri"/>
                <w:szCs w:val="21"/>
              </w:rPr>
              <w:t>我们认为</w:t>
            </w:r>
            <w:r>
              <w:rPr>
                <w:rFonts w:eastAsia="Calibri"/>
                <w:szCs w:val="21"/>
              </w:rPr>
              <w:t>RIP37</w:t>
            </w:r>
            <w:r>
              <w:rPr>
                <w:rFonts w:hint="eastAsia" w:eastAsia="Calibri"/>
                <w:szCs w:val="21"/>
              </w:rPr>
              <w:t>是</w:t>
            </w:r>
            <w:r>
              <w:rPr>
                <w:rFonts w:eastAsia="Calibri"/>
                <w:szCs w:val="21"/>
              </w:rPr>
              <w:t>植物抗病负调控因子。</w:t>
            </w:r>
          </w:p>
          <w:p>
            <w:pPr>
              <w:spacing w:line="320" w:lineRule="exact"/>
              <w:ind w:firstLine="482"/>
              <w:rPr>
                <w:rFonts w:ascii="楷体" w:hAnsi="楷体" w:eastAsia="楷体" w:cs="楷体"/>
                <w:szCs w:val="21"/>
              </w:rPr>
            </w:pPr>
            <w:r>
              <w:rPr>
                <w:rFonts w:hint="eastAsia" w:ascii="楷体" w:hAnsi="楷体" w:eastAsia="楷体" w:cs="楷体"/>
                <w:szCs w:val="21"/>
              </w:rPr>
              <w:t>4</w:t>
            </w:r>
            <w:r>
              <w:rPr>
                <w:rFonts w:ascii="楷体" w:hAnsi="楷体" w:eastAsia="楷体" w:cs="楷体"/>
                <w:szCs w:val="21"/>
              </w:rPr>
              <w:t xml:space="preserve"> E49</w:t>
            </w:r>
            <w:r>
              <w:rPr>
                <w:rFonts w:hint="eastAsia" w:ascii="楷体" w:hAnsi="楷体" w:eastAsia="楷体" w:cs="楷体"/>
                <w:szCs w:val="21"/>
              </w:rPr>
              <w:t>与</w:t>
            </w:r>
            <w:r>
              <w:rPr>
                <w:rFonts w:ascii="楷体" w:hAnsi="楷体" w:eastAsia="楷体" w:cs="楷体"/>
                <w:szCs w:val="21"/>
              </w:rPr>
              <w:t>靶标蛋白的共定位研究</w:t>
            </w:r>
          </w:p>
          <w:p>
            <w:pPr>
              <w:spacing w:line="320" w:lineRule="exact"/>
              <w:ind w:firstLine="570"/>
              <w:rPr>
                <w:rFonts w:ascii="Calibri" w:hAnsi="Calibri" w:eastAsia="Calibri"/>
                <w:szCs w:val="21"/>
              </w:rPr>
            </w:pPr>
            <w:r>
              <w:rPr>
                <w:rFonts w:ascii="Calibri" w:hAnsi="Calibri" w:eastAsia="Calibri"/>
                <w:szCs w:val="21"/>
              </w:rPr>
              <w:t>我们对E49与靶标的共定位进行了研究，我们将红色荧光基因mCherry与E49相连，绿色荧光基因GFP与靶标RIP37相连，共同表达在本氏烟草叶片中，以mcherry与GFP-RIP37共表达为对照，通过共聚焦显微镜观察蛋白共定位情况，结果表明效应蛋白E49与靶标RIP37共定位于寄主细胞核中。</w:t>
            </w:r>
          </w:p>
          <w:p>
            <w:pPr>
              <w:spacing w:line="320" w:lineRule="exact"/>
              <w:ind w:firstLine="482"/>
              <w:rPr>
                <w:rFonts w:ascii="楷体" w:hAnsi="楷体" w:eastAsia="楷体" w:cs="楷体"/>
                <w:szCs w:val="21"/>
              </w:rPr>
            </w:pPr>
            <w:r>
              <w:rPr>
                <w:rFonts w:hint="eastAsia" w:ascii="楷体" w:hAnsi="楷体" w:eastAsia="楷体" w:cs="楷体"/>
                <w:szCs w:val="21"/>
              </w:rPr>
              <w:t>5</w:t>
            </w:r>
            <w:r>
              <w:rPr>
                <w:rFonts w:ascii="楷体" w:hAnsi="楷体" w:eastAsia="楷体" w:cs="楷体"/>
                <w:szCs w:val="21"/>
              </w:rPr>
              <w:t>靶标蛋白</w:t>
            </w:r>
            <w:r>
              <w:rPr>
                <w:rFonts w:hint="eastAsia" w:ascii="楷体" w:hAnsi="楷体" w:eastAsia="楷体" w:cs="楷体"/>
                <w:szCs w:val="21"/>
              </w:rPr>
              <w:t>RIP37</w:t>
            </w:r>
            <w:r>
              <w:rPr>
                <w:rFonts w:ascii="楷体" w:hAnsi="楷体" w:eastAsia="楷体" w:cs="楷体"/>
                <w:szCs w:val="21"/>
              </w:rPr>
              <w:t>负调控植物PTI免疫</w:t>
            </w:r>
          </w:p>
          <w:p>
            <w:pPr>
              <w:spacing w:line="320" w:lineRule="exact"/>
              <w:ind w:firstLine="570"/>
              <w:rPr>
                <w:rFonts w:ascii="Calibri" w:hAnsi="Calibri" w:eastAsia="Calibri"/>
                <w:szCs w:val="21"/>
              </w:rPr>
            </w:pPr>
            <w:r>
              <w:rPr>
                <w:rFonts w:ascii="Calibri" w:hAnsi="Calibri" w:eastAsia="Calibri"/>
                <w:szCs w:val="21"/>
              </w:rPr>
              <w:t>由于蛋白激酶可能参与植物基础免疫PTI反应，我们对靶标RIP37对PTI标记基因表达的影响进行了研究，结果发现过表达RIP37抑制flg22诱导的PTI标记基因表达，而沉默RIP37可以促进flg22诱导的PTI标记基因表达。该该结果表明RIP37负调控PTI免疫反应。</w:t>
            </w:r>
          </w:p>
          <w:p>
            <w:pPr>
              <w:spacing w:line="320" w:lineRule="exact"/>
              <w:ind w:firstLine="482"/>
              <w:rPr>
                <w:rFonts w:ascii="楷体" w:hAnsi="楷体" w:eastAsia="楷体" w:cs="楷体"/>
                <w:szCs w:val="21"/>
              </w:rPr>
            </w:pPr>
            <w:r>
              <w:rPr>
                <w:rFonts w:hint="eastAsia" w:ascii="楷体" w:hAnsi="楷体" w:eastAsia="楷体" w:cs="楷体"/>
                <w:szCs w:val="21"/>
              </w:rPr>
              <w:t xml:space="preserve">6 </w:t>
            </w:r>
            <w:r>
              <w:rPr>
                <w:rFonts w:ascii="楷体" w:hAnsi="楷体" w:eastAsia="楷体" w:cs="楷体"/>
                <w:szCs w:val="21"/>
              </w:rPr>
              <w:t>E49抑制植物PTI免疫</w:t>
            </w:r>
          </w:p>
          <w:p>
            <w:pPr>
              <w:spacing w:line="320" w:lineRule="exact"/>
              <w:ind w:firstLine="570"/>
              <w:rPr>
                <w:rFonts w:ascii="Calibri" w:hAnsi="Calibri" w:eastAsia="Calibri"/>
                <w:szCs w:val="21"/>
              </w:rPr>
            </w:pPr>
            <w:r>
              <w:rPr>
                <w:rFonts w:ascii="Calibri" w:hAnsi="Calibri" w:eastAsia="Calibri"/>
                <w:szCs w:val="21"/>
              </w:rPr>
              <w:t>为了揭示效应蛋白E49如何通过靶标蛋白调控植物免疫反应，我们对E49抑制PTI反应进行了研究。通过过表达E49并进行flg22处理，我们发现E49抑制了植物PTI免疫反应。</w:t>
            </w:r>
          </w:p>
          <w:p>
            <w:pPr>
              <w:spacing w:line="320" w:lineRule="exact"/>
              <w:ind w:firstLine="570"/>
              <w:rPr>
                <w:rFonts w:ascii="Calibri" w:hAnsi="Calibri" w:eastAsia="Calibri"/>
                <w:szCs w:val="21"/>
              </w:rPr>
            </w:pPr>
            <w:r>
              <w:rPr>
                <w:rFonts w:ascii="Calibri" w:hAnsi="Calibri" w:eastAsia="Calibri"/>
                <w:szCs w:val="21"/>
              </w:rPr>
              <w:t>因此我们推测E49通过靶向一个寄主PTI反应负调控因子RIP37，从而抑制植物基础防御反应，进而促进晚疫病菌对寄主植物的侵染。对于E49是否借助于RIP37而发挥毒性功能，以及E49如何调控RIP37还在进一步研究中。</w:t>
            </w:r>
          </w:p>
          <w:p>
            <w:pPr>
              <w:spacing w:line="320" w:lineRule="exact"/>
              <w:ind w:firstLine="570"/>
              <w:jc w:val="center"/>
              <w:rPr>
                <w:rFonts w:ascii="Calibri" w:hAnsi="Calibri" w:eastAsia="Calibri"/>
                <w:szCs w:val="21"/>
              </w:rPr>
            </w:pPr>
            <w:r>
              <w:rPr>
                <w:rFonts w:ascii="Calibri" w:hAnsi="Calibri" w:eastAsia="Calibri"/>
                <w:szCs w:val="21"/>
              </w:rPr>
              <w:t>(二)植物对疫霉菌易感基因的筛选与功能分析</w:t>
            </w:r>
          </w:p>
          <w:p>
            <w:pPr>
              <w:spacing w:line="320" w:lineRule="exact"/>
              <w:ind w:firstLine="570"/>
              <w:rPr>
                <w:rFonts w:ascii="Calibri" w:hAnsi="Calibri" w:eastAsia="Calibri"/>
                <w:szCs w:val="21"/>
              </w:rPr>
            </w:pPr>
            <w:r>
              <w:rPr>
                <w:rFonts w:ascii="Calibri" w:hAnsi="Calibri" w:eastAsia="Calibri"/>
                <w:szCs w:val="21"/>
              </w:rPr>
              <w:t>由疫霉菌引起的植物疫病严重威胁着粮食、蔬菜生产。植物抗疫病机制复杂，抗病基因克隆难度大，且会随着病菌的变异而在短短几年时间失去抗性。感病基因的提出为提高植物抗性提供了新的思路。本研究拟通过筛选本氏烟草VIGS文库，筛选植物对致病疫霉菌、辣椒疫霉菌感病基因，并对感病基因的感病机理进行探索，为后期利用感病基因，提高植物抗性做出理论指导。目前该部分研究还在进行中，我们初步筛选并鉴定到了一个植物感病基因，其感病机理还在进一步的研究中。</w:t>
            </w:r>
          </w:p>
          <w:p>
            <w:pPr>
              <w:spacing w:line="320" w:lineRule="exact"/>
              <w:ind w:firstLine="570"/>
              <w:jc w:val="center"/>
              <w:rPr>
                <w:rFonts w:ascii="Calibri" w:hAnsi="Calibri" w:eastAsia="Calibri"/>
                <w:szCs w:val="21"/>
              </w:rPr>
            </w:pPr>
            <w:r>
              <w:rPr>
                <w:rFonts w:hint="eastAsia" w:ascii="Calibri" w:hAnsi="Calibri" w:eastAsia="Calibri"/>
                <w:szCs w:val="21"/>
              </w:rPr>
              <w:t>（三）胞吐囊复合体亚基基因参与植物抗疫病研究</w:t>
            </w:r>
          </w:p>
          <w:p>
            <w:pPr>
              <w:spacing w:line="320" w:lineRule="exact"/>
              <w:ind w:firstLine="570"/>
              <w:rPr>
                <w:rFonts w:ascii="Calibri" w:hAnsi="Calibri" w:eastAsia="Calibri"/>
                <w:szCs w:val="21"/>
              </w:rPr>
            </w:pPr>
            <w:r>
              <w:rPr>
                <w:rFonts w:hint="eastAsia" w:ascii="Calibri" w:hAnsi="Calibri" w:eastAsia="Calibri"/>
                <w:szCs w:val="21"/>
              </w:rPr>
              <w:t>胞吐囊</w:t>
            </w:r>
            <w:r>
              <w:rPr>
                <w:rFonts w:ascii="Calibri" w:hAnsi="Calibri" w:eastAsia="Calibri"/>
                <w:szCs w:val="21"/>
              </w:rPr>
              <w:t>复合体</w:t>
            </w:r>
            <w:r>
              <w:rPr>
                <w:rFonts w:hint="eastAsia" w:ascii="Calibri" w:hAnsi="Calibri" w:eastAsia="Calibri"/>
                <w:szCs w:val="21"/>
              </w:rPr>
              <w:t>参与</w:t>
            </w:r>
            <w:r>
              <w:rPr>
                <w:rFonts w:ascii="Calibri" w:hAnsi="Calibri" w:eastAsia="Calibri"/>
                <w:szCs w:val="21"/>
              </w:rPr>
              <w:t>植物胞吐过程</w:t>
            </w:r>
            <w:r>
              <w:rPr>
                <w:rFonts w:hint="eastAsia" w:ascii="Calibri" w:hAnsi="Calibri" w:eastAsia="Calibri"/>
                <w:szCs w:val="21"/>
              </w:rPr>
              <w:t>，广泛参与</w:t>
            </w:r>
            <w:r>
              <w:rPr>
                <w:rFonts w:ascii="Calibri" w:hAnsi="Calibri" w:eastAsia="Calibri"/>
                <w:szCs w:val="21"/>
              </w:rPr>
              <w:t>植物</w:t>
            </w:r>
            <w:r>
              <w:rPr>
                <w:rFonts w:hint="eastAsia" w:ascii="Calibri" w:hAnsi="Calibri" w:eastAsia="Calibri"/>
                <w:szCs w:val="21"/>
              </w:rPr>
              <w:t>生长发育</w:t>
            </w:r>
            <w:r>
              <w:rPr>
                <w:rFonts w:ascii="Calibri" w:hAnsi="Calibri" w:eastAsia="Calibri"/>
                <w:szCs w:val="21"/>
              </w:rPr>
              <w:t>等基础生理过程。</w:t>
            </w:r>
            <w:r>
              <w:rPr>
                <w:rFonts w:hint="eastAsia" w:ascii="Calibri" w:hAnsi="Calibri" w:eastAsia="Calibri"/>
                <w:szCs w:val="21"/>
              </w:rPr>
              <w:t>其复合体</w:t>
            </w:r>
            <w:r>
              <w:rPr>
                <w:rFonts w:ascii="Calibri" w:hAnsi="Calibri" w:eastAsia="Calibri"/>
                <w:szCs w:val="21"/>
              </w:rPr>
              <w:t>亚基基因在植物抗病中的作用</w:t>
            </w:r>
            <w:r>
              <w:rPr>
                <w:rFonts w:hint="eastAsia" w:ascii="Calibri" w:hAnsi="Calibri" w:eastAsia="Calibri"/>
                <w:szCs w:val="21"/>
              </w:rPr>
              <w:t>自2015年开始</w:t>
            </w:r>
            <w:r>
              <w:rPr>
                <w:rFonts w:ascii="Calibri" w:hAnsi="Calibri" w:eastAsia="Calibri"/>
                <w:szCs w:val="21"/>
              </w:rPr>
              <w:t>有报道</w:t>
            </w:r>
            <w:r>
              <w:rPr>
                <w:rFonts w:hint="eastAsia" w:ascii="Calibri" w:hAnsi="Calibri" w:eastAsia="Calibri"/>
                <w:szCs w:val="21"/>
              </w:rPr>
              <w:t>。为了系统的分析茄科</w:t>
            </w:r>
            <w:r>
              <w:rPr>
                <w:rFonts w:ascii="Calibri" w:hAnsi="Calibri" w:eastAsia="Calibri"/>
                <w:szCs w:val="21"/>
              </w:rPr>
              <w:t>植物胞吐囊复合体亚基基因</w:t>
            </w:r>
            <w:r>
              <w:rPr>
                <w:rFonts w:hint="eastAsia" w:ascii="Calibri" w:hAnsi="Calibri" w:eastAsia="Calibri"/>
                <w:szCs w:val="21"/>
              </w:rPr>
              <w:t>在</w:t>
            </w:r>
            <w:r>
              <w:rPr>
                <w:rFonts w:ascii="Calibri" w:hAnsi="Calibri" w:eastAsia="Calibri"/>
                <w:szCs w:val="21"/>
              </w:rPr>
              <w:t>抗病过程中</w:t>
            </w:r>
            <w:r>
              <w:rPr>
                <w:rFonts w:hint="eastAsia" w:ascii="Calibri" w:hAnsi="Calibri" w:eastAsia="Calibri"/>
                <w:szCs w:val="21"/>
              </w:rPr>
              <w:t>的</w:t>
            </w:r>
            <w:r>
              <w:rPr>
                <w:rFonts w:ascii="Calibri" w:hAnsi="Calibri" w:eastAsia="Calibri"/>
                <w:szCs w:val="21"/>
              </w:rPr>
              <w:t>作用，</w:t>
            </w:r>
            <w:r>
              <w:rPr>
                <w:rFonts w:hint="eastAsia" w:ascii="Calibri" w:hAnsi="Calibri" w:eastAsia="Calibri"/>
                <w:szCs w:val="21"/>
              </w:rPr>
              <w:t>我们分别</w:t>
            </w:r>
            <w:r>
              <w:rPr>
                <w:rFonts w:ascii="Calibri" w:hAnsi="Calibri" w:eastAsia="Calibri"/>
                <w:szCs w:val="21"/>
              </w:rPr>
              <w:t>选取来自于细菌</w:t>
            </w:r>
            <w:r>
              <w:rPr>
                <w:rFonts w:hint="eastAsia" w:ascii="Calibri" w:hAnsi="Calibri" w:eastAsia="Calibri"/>
                <w:szCs w:val="21"/>
              </w:rPr>
              <w:t>（</w:t>
            </w:r>
            <w:r>
              <w:rPr>
                <w:rFonts w:ascii="Calibri" w:hAnsi="Calibri" w:eastAsia="Calibri"/>
                <w:i/>
                <w:szCs w:val="21"/>
              </w:rPr>
              <w:t>Psedomonas syrigae</w:t>
            </w:r>
            <w:r>
              <w:rPr>
                <w:rFonts w:ascii="Calibri" w:hAnsi="Calibri" w:eastAsia="Calibri"/>
                <w:szCs w:val="21"/>
              </w:rPr>
              <w:t xml:space="preserve"> DC3000</w:t>
            </w:r>
            <w:r>
              <w:rPr>
                <w:rFonts w:hint="eastAsia" w:ascii="Calibri" w:hAnsi="Calibri" w:eastAsia="Calibri"/>
                <w:szCs w:val="21"/>
              </w:rPr>
              <w:t>）</w:t>
            </w:r>
            <w:r>
              <w:rPr>
                <w:rFonts w:ascii="Calibri" w:hAnsi="Calibri" w:eastAsia="Calibri"/>
                <w:szCs w:val="21"/>
              </w:rPr>
              <w:t>、真菌</w:t>
            </w:r>
            <w:r>
              <w:rPr>
                <w:rFonts w:hint="eastAsia" w:ascii="Calibri" w:hAnsi="Calibri" w:eastAsia="Calibri"/>
                <w:szCs w:val="21"/>
              </w:rPr>
              <w:t>（番茄</w:t>
            </w:r>
            <w:r>
              <w:rPr>
                <w:rFonts w:ascii="Calibri" w:hAnsi="Calibri" w:eastAsia="Calibri"/>
                <w:szCs w:val="21"/>
              </w:rPr>
              <w:t>灰霉菌</w:t>
            </w:r>
            <w:r>
              <w:rPr>
                <w:rFonts w:hint="eastAsia" w:ascii="Calibri" w:hAnsi="Calibri" w:eastAsia="Calibri"/>
                <w:i/>
                <w:szCs w:val="21"/>
              </w:rPr>
              <w:t>Botrytis</w:t>
            </w:r>
            <w:r>
              <w:rPr>
                <w:rFonts w:ascii="Calibri" w:hAnsi="Calibri" w:eastAsia="Calibri"/>
                <w:i/>
                <w:szCs w:val="21"/>
              </w:rPr>
              <w:t xml:space="preserve"> cinerea</w:t>
            </w:r>
            <w:r>
              <w:rPr>
                <w:rFonts w:hint="eastAsia" w:ascii="Calibri" w:hAnsi="Calibri" w:eastAsia="Calibri"/>
                <w:szCs w:val="21"/>
              </w:rPr>
              <w:t>）</w:t>
            </w:r>
            <w:r>
              <w:rPr>
                <w:rFonts w:ascii="Calibri" w:hAnsi="Calibri" w:eastAsia="Calibri"/>
                <w:szCs w:val="21"/>
              </w:rPr>
              <w:t>、卵菌</w:t>
            </w:r>
            <w:r>
              <w:rPr>
                <w:rFonts w:hint="eastAsia" w:ascii="Calibri" w:hAnsi="Calibri" w:eastAsia="Calibri"/>
                <w:szCs w:val="21"/>
              </w:rPr>
              <w:t>（晚疫病菌</w:t>
            </w:r>
            <w:r>
              <w:rPr>
                <w:rFonts w:hint="eastAsia" w:ascii="Calibri" w:hAnsi="Calibri" w:eastAsia="Calibri"/>
                <w:i/>
                <w:szCs w:val="21"/>
              </w:rPr>
              <w:t>Phytophthora infestans</w:t>
            </w:r>
            <w:r>
              <w:rPr>
                <w:rFonts w:hint="eastAsia" w:ascii="Calibri" w:hAnsi="Calibri" w:eastAsia="Calibri"/>
                <w:szCs w:val="21"/>
              </w:rPr>
              <w:t>）</w:t>
            </w:r>
            <w:r>
              <w:rPr>
                <w:rFonts w:ascii="Calibri" w:hAnsi="Calibri" w:eastAsia="Calibri"/>
                <w:szCs w:val="21"/>
              </w:rPr>
              <w:t>的三种不同</w:t>
            </w:r>
            <w:r>
              <w:rPr>
                <w:rFonts w:hint="eastAsia" w:ascii="Calibri" w:hAnsi="Calibri" w:eastAsia="Calibri"/>
                <w:szCs w:val="21"/>
              </w:rPr>
              <w:t>病菌</w:t>
            </w:r>
            <w:r>
              <w:rPr>
                <w:rFonts w:ascii="Calibri" w:hAnsi="Calibri" w:eastAsia="Calibri"/>
                <w:szCs w:val="21"/>
              </w:rPr>
              <w:t>，</w:t>
            </w:r>
            <w:r>
              <w:rPr>
                <w:rFonts w:hint="eastAsia" w:ascii="Calibri" w:hAnsi="Calibri" w:eastAsia="Calibri"/>
                <w:szCs w:val="21"/>
              </w:rPr>
              <w:t>通过沉默</w:t>
            </w:r>
            <w:r>
              <w:rPr>
                <w:rFonts w:ascii="Calibri" w:hAnsi="Calibri" w:eastAsia="Calibri"/>
                <w:szCs w:val="21"/>
              </w:rPr>
              <w:t>胞吐囊复合体亚基基因</w:t>
            </w:r>
            <w:r>
              <w:rPr>
                <w:rFonts w:hint="eastAsia" w:ascii="Calibri" w:hAnsi="Calibri" w:eastAsia="Calibri"/>
                <w:szCs w:val="21"/>
              </w:rPr>
              <w:t>结合病菌接种</w:t>
            </w:r>
            <w:r>
              <w:rPr>
                <w:rFonts w:ascii="Calibri" w:hAnsi="Calibri" w:eastAsia="Calibri"/>
                <w:szCs w:val="21"/>
              </w:rPr>
              <w:t>试验，</w:t>
            </w:r>
            <w:r>
              <w:rPr>
                <w:rFonts w:hint="eastAsia" w:ascii="Calibri" w:hAnsi="Calibri" w:eastAsia="Calibri"/>
                <w:szCs w:val="21"/>
              </w:rPr>
              <w:t>对</w:t>
            </w:r>
            <w:r>
              <w:rPr>
                <w:rFonts w:ascii="Calibri" w:hAnsi="Calibri" w:eastAsia="Calibri"/>
                <w:szCs w:val="21"/>
              </w:rPr>
              <w:t>三种不同病害的</w:t>
            </w:r>
            <w:r>
              <w:rPr>
                <w:rFonts w:hint="eastAsia" w:ascii="Calibri" w:hAnsi="Calibri" w:eastAsia="Calibri"/>
                <w:szCs w:val="21"/>
              </w:rPr>
              <w:t>抗感性</w:t>
            </w:r>
            <w:r>
              <w:rPr>
                <w:rFonts w:ascii="Calibri" w:hAnsi="Calibri" w:eastAsia="Calibri"/>
                <w:szCs w:val="21"/>
              </w:rPr>
              <w:t>进行了分析</w:t>
            </w:r>
            <w:r>
              <w:rPr>
                <w:rFonts w:hint="eastAsia" w:ascii="Calibri" w:hAnsi="Calibri" w:eastAsia="Calibri"/>
                <w:szCs w:val="21"/>
              </w:rPr>
              <w:t>，</w:t>
            </w:r>
            <w:r>
              <w:rPr>
                <w:rFonts w:ascii="Calibri" w:hAnsi="Calibri" w:eastAsia="Calibri"/>
                <w:szCs w:val="21"/>
              </w:rPr>
              <w:t>揭示了胞吐囊</w:t>
            </w:r>
            <w:r>
              <w:rPr>
                <w:rFonts w:hint="eastAsia" w:ascii="Calibri" w:hAnsi="Calibri" w:eastAsia="Calibri"/>
                <w:szCs w:val="21"/>
              </w:rPr>
              <w:t>复合体</w:t>
            </w:r>
            <w:r>
              <w:rPr>
                <w:rFonts w:ascii="Calibri" w:hAnsi="Calibri" w:eastAsia="Calibri"/>
                <w:szCs w:val="21"/>
              </w:rPr>
              <w:t>亚基核心组分</w:t>
            </w:r>
            <w:r>
              <w:rPr>
                <w:rFonts w:hint="eastAsia" w:ascii="Calibri" w:hAnsi="Calibri" w:eastAsia="Calibri"/>
                <w:szCs w:val="21"/>
              </w:rPr>
              <w:t>（</w:t>
            </w:r>
            <w:r>
              <w:rPr>
                <w:rFonts w:ascii="Calibri" w:hAnsi="Calibri" w:eastAsia="Calibri"/>
                <w:szCs w:val="21"/>
              </w:rPr>
              <w:t>Sec5, Sec6, and Sec10</w:t>
            </w:r>
            <w:r>
              <w:rPr>
                <w:rFonts w:hint="eastAsia" w:ascii="Calibri" w:hAnsi="Calibri" w:eastAsia="Calibri"/>
                <w:szCs w:val="21"/>
              </w:rPr>
              <w:t>）</w:t>
            </w:r>
            <w:r>
              <w:rPr>
                <w:rFonts w:ascii="Calibri" w:hAnsi="Calibri" w:eastAsia="Calibri"/>
                <w:szCs w:val="21"/>
              </w:rPr>
              <w:t>在植物</w:t>
            </w:r>
            <w:r>
              <w:rPr>
                <w:rFonts w:hint="eastAsia" w:ascii="Calibri" w:hAnsi="Calibri" w:eastAsia="Calibri"/>
                <w:szCs w:val="21"/>
              </w:rPr>
              <w:t>对</w:t>
            </w:r>
            <w:r>
              <w:rPr>
                <w:rFonts w:ascii="Calibri" w:hAnsi="Calibri" w:eastAsia="Calibri"/>
                <w:szCs w:val="21"/>
              </w:rPr>
              <w:t>抗活体、半活体</w:t>
            </w:r>
            <w:r>
              <w:rPr>
                <w:rFonts w:hint="eastAsia" w:ascii="Calibri" w:hAnsi="Calibri" w:eastAsia="Calibri"/>
                <w:szCs w:val="21"/>
              </w:rPr>
              <w:t>营养</w:t>
            </w:r>
            <w:r>
              <w:rPr>
                <w:rFonts w:ascii="Calibri" w:hAnsi="Calibri" w:eastAsia="Calibri"/>
                <w:szCs w:val="21"/>
              </w:rPr>
              <w:t>型病原物</w:t>
            </w:r>
            <w:r>
              <w:rPr>
                <w:rFonts w:hint="eastAsia" w:ascii="Calibri" w:hAnsi="Calibri" w:eastAsia="Calibri"/>
                <w:szCs w:val="21"/>
              </w:rPr>
              <w:t>（</w:t>
            </w:r>
            <w:r>
              <w:rPr>
                <w:rFonts w:ascii="Calibri" w:hAnsi="Calibri" w:eastAsia="Calibri"/>
                <w:i/>
                <w:szCs w:val="21"/>
              </w:rPr>
              <w:t>P. syrigae</w:t>
            </w:r>
            <w:r>
              <w:rPr>
                <w:rFonts w:hint="eastAsia" w:ascii="Calibri" w:hAnsi="Calibri" w:eastAsia="Calibri"/>
                <w:szCs w:val="21"/>
              </w:rPr>
              <w:t>、</w:t>
            </w:r>
            <w:r>
              <w:rPr>
                <w:rFonts w:ascii="Calibri" w:hAnsi="Calibri" w:eastAsia="Calibri"/>
                <w:i/>
                <w:szCs w:val="21"/>
              </w:rPr>
              <w:t>P</w:t>
            </w:r>
            <w:r>
              <w:rPr>
                <w:rFonts w:hint="eastAsia" w:ascii="Calibri" w:hAnsi="Calibri" w:eastAsia="Calibri"/>
                <w:i/>
                <w:szCs w:val="21"/>
              </w:rPr>
              <w:t>.</w:t>
            </w:r>
            <w:r>
              <w:rPr>
                <w:rFonts w:ascii="Calibri" w:hAnsi="Calibri" w:eastAsia="Calibri"/>
                <w:i/>
                <w:szCs w:val="21"/>
              </w:rPr>
              <w:t xml:space="preserve"> infestans</w:t>
            </w:r>
            <w:r>
              <w:rPr>
                <w:rFonts w:hint="eastAsia" w:ascii="Calibri" w:hAnsi="Calibri" w:eastAsia="Calibri"/>
                <w:szCs w:val="21"/>
              </w:rPr>
              <w:t>）</w:t>
            </w:r>
            <w:r>
              <w:rPr>
                <w:rFonts w:ascii="Calibri" w:hAnsi="Calibri" w:eastAsia="Calibri"/>
                <w:szCs w:val="21"/>
              </w:rPr>
              <w:t>中</w:t>
            </w:r>
            <w:r>
              <w:rPr>
                <w:rFonts w:hint="eastAsia" w:ascii="Calibri" w:hAnsi="Calibri" w:eastAsia="Calibri"/>
                <w:szCs w:val="21"/>
              </w:rPr>
              <w:t>发挥重要抗病功能</w:t>
            </w:r>
            <w:r>
              <w:rPr>
                <w:rFonts w:ascii="Calibri" w:hAnsi="Calibri" w:eastAsia="Calibri"/>
                <w:szCs w:val="21"/>
              </w:rPr>
              <w:t>，而</w:t>
            </w:r>
            <w:r>
              <w:rPr>
                <w:rFonts w:hint="eastAsia" w:ascii="Calibri" w:hAnsi="Calibri" w:eastAsia="Calibri"/>
                <w:szCs w:val="21"/>
              </w:rPr>
              <w:t>对于</w:t>
            </w:r>
            <w:r>
              <w:rPr>
                <w:rFonts w:ascii="Calibri" w:hAnsi="Calibri" w:eastAsia="Calibri"/>
                <w:szCs w:val="21"/>
              </w:rPr>
              <w:t>死体营养型</w:t>
            </w:r>
            <w:r>
              <w:rPr>
                <w:rFonts w:hint="eastAsia" w:ascii="Calibri" w:hAnsi="Calibri" w:eastAsia="Calibri"/>
                <w:szCs w:val="21"/>
              </w:rPr>
              <w:t>病原物（</w:t>
            </w:r>
            <w:r>
              <w:rPr>
                <w:rFonts w:ascii="Calibri" w:hAnsi="Calibri" w:eastAsia="Calibri"/>
                <w:i/>
                <w:szCs w:val="21"/>
              </w:rPr>
              <w:t>B. cinerea</w:t>
            </w:r>
            <w:r>
              <w:rPr>
                <w:rFonts w:hint="eastAsia" w:ascii="Calibri" w:hAnsi="Calibri" w:eastAsia="Calibri"/>
                <w:szCs w:val="21"/>
              </w:rPr>
              <w:t>）</w:t>
            </w:r>
            <w:r>
              <w:rPr>
                <w:rFonts w:ascii="Calibri" w:hAnsi="Calibri" w:eastAsia="Calibri"/>
                <w:szCs w:val="21"/>
              </w:rPr>
              <w:t>发挥感病基因的</w:t>
            </w:r>
            <w:r>
              <w:rPr>
                <w:rFonts w:hint="eastAsia" w:ascii="Calibri" w:hAnsi="Calibri" w:eastAsia="Calibri"/>
                <w:szCs w:val="21"/>
              </w:rPr>
              <w:t>功能</w:t>
            </w:r>
            <w:r>
              <w:rPr>
                <w:rFonts w:ascii="Calibri" w:hAnsi="Calibri" w:eastAsia="Calibri"/>
                <w:szCs w:val="21"/>
              </w:rPr>
              <w:t>。该部分工作</w:t>
            </w:r>
            <w:r>
              <w:rPr>
                <w:rFonts w:hint="eastAsia" w:ascii="Calibri" w:hAnsi="Calibri" w:eastAsia="Calibri"/>
                <w:szCs w:val="21"/>
              </w:rPr>
              <w:t>于2018年</w:t>
            </w:r>
            <w:r>
              <w:rPr>
                <w:rFonts w:ascii="Calibri" w:hAnsi="Calibri" w:eastAsia="Calibri"/>
                <w:szCs w:val="21"/>
              </w:rPr>
              <w:t>2</w:t>
            </w:r>
            <w:r>
              <w:rPr>
                <w:rFonts w:hint="eastAsia" w:ascii="Calibri" w:hAnsi="Calibri" w:eastAsia="Calibri"/>
                <w:szCs w:val="21"/>
              </w:rPr>
              <w:t>月发表</w:t>
            </w:r>
            <w:r>
              <w:rPr>
                <w:rFonts w:ascii="Calibri" w:hAnsi="Calibri" w:eastAsia="Calibri"/>
                <w:szCs w:val="21"/>
              </w:rPr>
              <w:t>在Journal of Experimental Botany</w:t>
            </w:r>
            <w:r>
              <w:rPr>
                <w:rFonts w:hint="eastAsia" w:ascii="Calibri" w:hAnsi="Calibri" w:eastAsia="Calibri"/>
                <w:szCs w:val="21"/>
              </w:rPr>
              <w:t>（IF</w:t>
            </w:r>
            <w:r>
              <w:rPr>
                <w:rFonts w:ascii="Calibri" w:hAnsi="Calibri" w:eastAsia="Calibri"/>
                <w:szCs w:val="21"/>
              </w:rPr>
              <w:t>5</w:t>
            </w:r>
            <w:r>
              <w:rPr>
                <w:rFonts w:hint="eastAsia" w:ascii="Calibri" w:hAnsi="Calibri" w:eastAsia="Calibri"/>
                <w:szCs w:val="21"/>
              </w:rPr>
              <w:t>：6</w:t>
            </w:r>
            <w:r>
              <w:rPr>
                <w:rFonts w:ascii="Calibri" w:hAnsi="Calibri" w:eastAsia="Calibri"/>
                <w:szCs w:val="21"/>
              </w:rPr>
              <w:t>.538</w:t>
            </w:r>
            <w:r>
              <w:rPr>
                <w:rFonts w:hint="eastAsia" w:ascii="Calibri" w:hAnsi="Calibri" w:eastAsia="Calibri"/>
                <w:szCs w:val="21"/>
              </w:rPr>
              <w:t>）(</w:t>
            </w:r>
            <w:r>
              <w:rPr>
                <w:rFonts w:ascii="Calibri" w:hAnsi="Calibri" w:eastAsia="Calibri"/>
                <w:szCs w:val="21"/>
              </w:rPr>
              <w:t>Du et al., Journal of Experimental Botany, 2018, 69</w:t>
            </w:r>
            <w:r>
              <w:rPr>
                <w:rFonts w:hint="eastAsia" w:ascii="Calibri" w:hAnsi="Calibri" w:eastAsia="Calibri"/>
                <w:szCs w:val="21"/>
              </w:rPr>
              <w:t>：</w:t>
            </w:r>
            <w:r>
              <w:rPr>
                <w:rFonts w:ascii="Calibri" w:hAnsi="Calibri" w:eastAsia="Calibri"/>
                <w:szCs w:val="21"/>
              </w:rPr>
              <w:t>655-666</w:t>
            </w:r>
            <w:r>
              <w:rPr>
                <w:rFonts w:hint="eastAsia" w:ascii="Calibri" w:hAnsi="Calibri" w:eastAsia="Calibri"/>
                <w:szCs w:val="21"/>
              </w:rPr>
              <w:t>)</w:t>
            </w:r>
            <w:r>
              <w:rPr>
                <w:rFonts w:ascii="Calibri" w:hAnsi="Calibri" w:eastAsia="Calibri"/>
                <w:szCs w:val="21"/>
              </w:rPr>
              <w:t>。</w:t>
            </w:r>
          </w:p>
          <w:p>
            <w:pPr>
              <w:spacing w:line="320" w:lineRule="exact"/>
              <w:ind w:firstLine="570"/>
              <w:jc w:val="center"/>
              <w:rPr>
                <w:rFonts w:ascii="Calibri" w:hAnsi="Calibri" w:eastAsia="Calibri"/>
                <w:szCs w:val="21"/>
              </w:rPr>
            </w:pPr>
            <w:r>
              <w:rPr>
                <w:rFonts w:hint="eastAsia" w:ascii="Calibri" w:hAnsi="Calibri" w:eastAsia="Calibri"/>
                <w:szCs w:val="21"/>
              </w:rPr>
              <w:t>（四）晚疫病菌效应蛋白遗传多样性研究</w:t>
            </w:r>
          </w:p>
          <w:p>
            <w:pPr>
              <w:spacing w:line="320" w:lineRule="exact"/>
              <w:ind w:firstLine="570"/>
              <w:rPr>
                <w:rFonts w:ascii="Calibri" w:hAnsi="Calibri" w:eastAsia="Calibri"/>
                <w:szCs w:val="21"/>
              </w:rPr>
            </w:pPr>
            <w:r>
              <w:rPr>
                <w:rFonts w:hint="eastAsia" w:ascii="Calibri" w:hAnsi="Calibri" w:eastAsia="Calibri"/>
                <w:szCs w:val="21"/>
              </w:rPr>
              <w:t>通过研究效应蛋白遗传多样性，可以分析、研究主效抗病基因的广谱、持久特性，预测其应用前景。申请人</w:t>
            </w:r>
            <w:r>
              <w:rPr>
                <w:rFonts w:ascii="Calibri" w:hAnsi="Calibri" w:eastAsia="Calibri"/>
                <w:szCs w:val="21"/>
              </w:rPr>
              <w:t>通过</w:t>
            </w:r>
            <w:r>
              <w:rPr>
                <w:rFonts w:hint="eastAsia" w:ascii="Calibri" w:hAnsi="Calibri" w:eastAsia="Calibri"/>
                <w:szCs w:val="21"/>
              </w:rPr>
              <w:t>对</w:t>
            </w:r>
            <w:r>
              <w:rPr>
                <w:rFonts w:ascii="Calibri" w:hAnsi="Calibri" w:eastAsia="Calibri"/>
                <w:szCs w:val="21"/>
              </w:rPr>
              <w:t>晚疫病菌群体</w:t>
            </w:r>
            <w:r>
              <w:rPr>
                <w:rFonts w:hint="eastAsia" w:ascii="Calibri" w:hAnsi="Calibri" w:eastAsia="Calibri"/>
                <w:szCs w:val="21"/>
              </w:rPr>
              <w:t>中</w:t>
            </w:r>
            <w:r>
              <w:rPr>
                <w:rFonts w:ascii="Calibri" w:hAnsi="Calibri" w:eastAsia="Calibri"/>
                <w:szCs w:val="21"/>
              </w:rPr>
              <w:t>AVR1</w:t>
            </w:r>
            <w:r>
              <w:rPr>
                <w:rFonts w:hint="eastAsia" w:ascii="Calibri" w:hAnsi="Calibri" w:eastAsia="Calibri"/>
                <w:szCs w:val="21"/>
              </w:rPr>
              <w:t>基因</w:t>
            </w:r>
            <w:r>
              <w:rPr>
                <w:rFonts w:ascii="Calibri" w:hAnsi="Calibri" w:eastAsia="Calibri"/>
                <w:szCs w:val="21"/>
              </w:rPr>
              <w:t>进行</w:t>
            </w:r>
            <w:r>
              <w:rPr>
                <w:rFonts w:hint="eastAsia" w:ascii="Calibri" w:hAnsi="Calibri" w:eastAsia="Calibri"/>
                <w:szCs w:val="21"/>
              </w:rPr>
              <w:t>分析</w:t>
            </w:r>
            <w:r>
              <w:rPr>
                <w:rFonts w:ascii="Calibri" w:hAnsi="Calibri" w:eastAsia="Calibri"/>
                <w:szCs w:val="21"/>
              </w:rPr>
              <w:t>，</w:t>
            </w:r>
            <w:r>
              <w:rPr>
                <w:rFonts w:hint="eastAsia" w:ascii="Calibri" w:hAnsi="Calibri" w:eastAsia="Calibri"/>
                <w:szCs w:val="21"/>
              </w:rPr>
              <w:t>发现晚疫</w:t>
            </w:r>
            <w:r>
              <w:rPr>
                <w:rFonts w:ascii="Calibri" w:hAnsi="Calibri" w:eastAsia="Calibri"/>
                <w:szCs w:val="21"/>
              </w:rPr>
              <w:t>病菌</w:t>
            </w:r>
            <w:r>
              <w:rPr>
                <w:rFonts w:hint="eastAsia" w:ascii="Calibri" w:hAnsi="Calibri" w:eastAsia="Calibri"/>
                <w:szCs w:val="21"/>
              </w:rPr>
              <w:t>群体</w:t>
            </w:r>
            <w:r>
              <w:rPr>
                <w:rFonts w:ascii="Calibri" w:hAnsi="Calibri" w:eastAsia="Calibri"/>
                <w:szCs w:val="21"/>
              </w:rPr>
              <w:t>中</w:t>
            </w:r>
            <w:r>
              <w:rPr>
                <w:rFonts w:hint="eastAsia" w:ascii="Calibri" w:hAnsi="Calibri" w:eastAsia="Calibri"/>
                <w:szCs w:val="21"/>
              </w:rPr>
              <w:t>存在突破了</w:t>
            </w:r>
            <w:r>
              <w:rPr>
                <w:rFonts w:ascii="Calibri" w:hAnsi="Calibri" w:eastAsia="Calibri"/>
                <w:szCs w:val="21"/>
              </w:rPr>
              <w:t>R1抗性的菌株，这些</w:t>
            </w:r>
            <w:r>
              <w:rPr>
                <w:rFonts w:hint="eastAsia" w:ascii="Calibri" w:hAnsi="Calibri" w:eastAsia="Calibri"/>
                <w:szCs w:val="21"/>
              </w:rPr>
              <w:t>菌株失去</w:t>
            </w:r>
            <w:r>
              <w:rPr>
                <w:rFonts w:ascii="Calibri" w:hAnsi="Calibri" w:eastAsia="Calibri"/>
                <w:szCs w:val="21"/>
              </w:rPr>
              <w:t>了AVR1</w:t>
            </w:r>
            <w:r>
              <w:rPr>
                <w:rFonts w:hint="eastAsia" w:ascii="Calibri" w:hAnsi="Calibri" w:eastAsia="Calibri"/>
                <w:szCs w:val="21"/>
              </w:rPr>
              <w:t>效应基因</w:t>
            </w:r>
            <w:r>
              <w:rPr>
                <w:rFonts w:ascii="Calibri" w:hAnsi="Calibri" w:eastAsia="Calibri"/>
                <w:szCs w:val="21"/>
              </w:rPr>
              <w:t>，然而在基因组的其它位置获得了AVR1</w:t>
            </w:r>
            <w:r>
              <w:rPr>
                <w:rFonts w:hint="eastAsia" w:ascii="Calibri" w:hAnsi="Calibri" w:eastAsia="Calibri"/>
                <w:szCs w:val="21"/>
              </w:rPr>
              <w:t>的</w:t>
            </w:r>
            <w:r>
              <w:rPr>
                <w:rFonts w:ascii="Calibri" w:hAnsi="Calibri" w:eastAsia="Calibri"/>
                <w:szCs w:val="21"/>
              </w:rPr>
              <w:t>同源基因AVR1-like</w:t>
            </w:r>
            <w:r>
              <w:rPr>
                <w:rFonts w:hint="eastAsia" w:ascii="Calibri" w:hAnsi="Calibri" w:eastAsia="Calibri"/>
                <w:szCs w:val="21"/>
              </w:rPr>
              <w:t>（A</w:t>
            </w:r>
            <w:r>
              <w:rPr>
                <w:rFonts w:ascii="Calibri" w:hAnsi="Calibri" w:eastAsia="Calibri"/>
                <w:szCs w:val="21"/>
              </w:rPr>
              <w:t>-</w:t>
            </w:r>
            <w:r>
              <w:rPr>
                <w:rFonts w:hint="eastAsia" w:ascii="Calibri" w:hAnsi="Calibri" w:eastAsia="Calibri"/>
                <w:szCs w:val="21"/>
              </w:rPr>
              <w:t>L）</w:t>
            </w:r>
            <w:r>
              <w:rPr>
                <w:rFonts w:ascii="Calibri" w:hAnsi="Calibri" w:eastAsia="Calibri"/>
                <w:szCs w:val="21"/>
              </w:rPr>
              <w:t>，</w:t>
            </w:r>
            <w:r>
              <w:rPr>
                <w:rFonts w:hint="eastAsia" w:ascii="Calibri" w:hAnsi="Calibri" w:eastAsia="Calibri"/>
                <w:szCs w:val="21"/>
              </w:rPr>
              <w:t>二者相似性</w:t>
            </w:r>
            <w:r>
              <w:rPr>
                <w:rFonts w:ascii="Calibri" w:hAnsi="Calibri" w:eastAsia="Calibri"/>
                <w:szCs w:val="21"/>
              </w:rPr>
              <w:t>达</w:t>
            </w:r>
            <w:r>
              <w:rPr>
                <w:rFonts w:hint="eastAsia" w:ascii="Calibri" w:hAnsi="Calibri" w:eastAsia="Calibri"/>
                <w:szCs w:val="21"/>
              </w:rPr>
              <w:t>82</w:t>
            </w:r>
            <w:r>
              <w:rPr>
                <w:rFonts w:ascii="Calibri" w:hAnsi="Calibri" w:eastAsia="Calibri"/>
                <w:szCs w:val="21"/>
              </w:rPr>
              <w:t>%</w:t>
            </w:r>
            <w:r>
              <w:rPr>
                <w:rFonts w:hint="eastAsia" w:ascii="Calibri" w:hAnsi="Calibri" w:eastAsia="Calibri"/>
                <w:szCs w:val="21"/>
              </w:rPr>
              <w:t>。但相比</w:t>
            </w:r>
            <w:r>
              <w:rPr>
                <w:rFonts w:ascii="Calibri" w:hAnsi="Calibri" w:eastAsia="Calibri"/>
                <w:szCs w:val="21"/>
              </w:rPr>
              <w:t>AVR1</w:t>
            </w:r>
            <w:r>
              <w:rPr>
                <w:rFonts w:hint="eastAsia" w:ascii="Calibri" w:hAnsi="Calibri" w:eastAsia="Calibri"/>
                <w:szCs w:val="21"/>
              </w:rPr>
              <w:t>，</w:t>
            </w:r>
            <w:r>
              <w:rPr>
                <w:rFonts w:ascii="Calibri" w:hAnsi="Calibri" w:eastAsia="Calibri"/>
                <w:szCs w:val="21"/>
              </w:rPr>
              <w:t>A-L不能被R1</w:t>
            </w:r>
            <w:r>
              <w:rPr>
                <w:rFonts w:hint="eastAsia" w:ascii="Calibri" w:hAnsi="Calibri" w:eastAsia="Calibri"/>
                <w:szCs w:val="21"/>
              </w:rPr>
              <w:t>识别，</w:t>
            </w:r>
            <w:r>
              <w:rPr>
                <w:rFonts w:ascii="Calibri" w:hAnsi="Calibri" w:eastAsia="Calibri"/>
                <w:szCs w:val="21"/>
              </w:rPr>
              <w:t>并且其C-端缺失了</w:t>
            </w:r>
            <w:r>
              <w:rPr>
                <w:rFonts w:hint="eastAsia" w:ascii="Calibri" w:hAnsi="Calibri" w:eastAsia="Calibri"/>
                <w:szCs w:val="21"/>
              </w:rPr>
              <w:t>38个</w:t>
            </w:r>
            <w:r>
              <w:rPr>
                <w:rFonts w:ascii="Calibri" w:hAnsi="Calibri" w:eastAsia="Calibri"/>
                <w:szCs w:val="21"/>
              </w:rPr>
              <w:t>氨基酸</w:t>
            </w:r>
            <w:r>
              <w:rPr>
                <w:rFonts w:hint="eastAsia" w:ascii="Calibri" w:hAnsi="Calibri" w:eastAsia="Calibri"/>
                <w:szCs w:val="21"/>
              </w:rPr>
              <w:t>（我们称为T-region, T）。</w:t>
            </w:r>
            <w:r>
              <w:rPr>
                <w:rFonts w:ascii="Calibri" w:hAnsi="Calibri" w:eastAsia="Calibri"/>
                <w:szCs w:val="21"/>
              </w:rPr>
              <w:t>申请人通过</w:t>
            </w:r>
            <w:r>
              <w:rPr>
                <w:rFonts w:hint="eastAsia" w:ascii="Calibri" w:hAnsi="Calibri" w:eastAsia="Calibri"/>
                <w:szCs w:val="21"/>
              </w:rPr>
              <w:t>突变</w:t>
            </w:r>
            <w:r>
              <w:rPr>
                <w:rFonts w:ascii="Calibri" w:hAnsi="Calibri" w:eastAsia="Calibri"/>
                <w:szCs w:val="21"/>
              </w:rPr>
              <w:t>分析</w:t>
            </w:r>
            <w:r>
              <w:rPr>
                <w:rFonts w:hint="eastAsia" w:ascii="Calibri" w:hAnsi="Calibri" w:eastAsia="Calibri"/>
                <w:szCs w:val="21"/>
              </w:rPr>
              <w:t>，发现</w:t>
            </w:r>
            <w:r>
              <w:rPr>
                <w:rFonts w:ascii="Calibri" w:hAnsi="Calibri" w:eastAsia="Calibri"/>
                <w:szCs w:val="21"/>
              </w:rPr>
              <w:t>T</w:t>
            </w:r>
            <w:r>
              <w:rPr>
                <w:rFonts w:hint="eastAsia" w:ascii="Calibri" w:hAnsi="Calibri" w:eastAsia="Calibri"/>
                <w:szCs w:val="21"/>
              </w:rPr>
              <w:t>区域单独</w:t>
            </w:r>
            <w:r>
              <w:rPr>
                <w:rFonts w:ascii="Calibri" w:hAnsi="Calibri" w:eastAsia="Calibri"/>
                <w:szCs w:val="21"/>
              </w:rPr>
              <w:t>不能</w:t>
            </w:r>
            <w:r>
              <w:rPr>
                <w:rFonts w:hint="eastAsia" w:ascii="Calibri" w:hAnsi="Calibri" w:eastAsia="Calibri"/>
                <w:szCs w:val="21"/>
              </w:rPr>
              <w:t>引发</w:t>
            </w:r>
            <w:r>
              <w:rPr>
                <w:rFonts w:ascii="Calibri" w:hAnsi="Calibri" w:eastAsia="Calibri"/>
                <w:szCs w:val="21"/>
              </w:rPr>
              <w:t>R1</w:t>
            </w:r>
            <w:r>
              <w:rPr>
                <w:rFonts w:hint="eastAsia" w:ascii="Calibri" w:hAnsi="Calibri" w:eastAsia="Calibri"/>
                <w:szCs w:val="21"/>
              </w:rPr>
              <w:t>抗性</w:t>
            </w:r>
            <w:r>
              <w:rPr>
                <w:rFonts w:ascii="Calibri" w:hAnsi="Calibri" w:eastAsia="Calibri"/>
                <w:szCs w:val="21"/>
              </w:rPr>
              <w:t>，但</w:t>
            </w:r>
            <w:r>
              <w:rPr>
                <w:rFonts w:hint="eastAsia" w:ascii="Calibri" w:hAnsi="Calibri" w:eastAsia="Calibri"/>
                <w:szCs w:val="21"/>
              </w:rPr>
              <w:t>T区域</w:t>
            </w:r>
            <w:r>
              <w:rPr>
                <w:rFonts w:ascii="Calibri" w:hAnsi="Calibri" w:eastAsia="Calibri"/>
                <w:szCs w:val="21"/>
              </w:rPr>
              <w:t>如果</w:t>
            </w:r>
            <w:r>
              <w:rPr>
                <w:rFonts w:hint="eastAsia" w:ascii="Calibri" w:hAnsi="Calibri" w:eastAsia="Calibri"/>
                <w:szCs w:val="21"/>
              </w:rPr>
              <w:t>连接</w:t>
            </w:r>
            <w:r>
              <w:rPr>
                <w:rFonts w:ascii="Calibri" w:hAnsi="Calibri" w:eastAsia="Calibri"/>
                <w:szCs w:val="21"/>
              </w:rPr>
              <w:t>到A-L上</w:t>
            </w:r>
            <w:r>
              <w:rPr>
                <w:rFonts w:hint="eastAsia" w:ascii="Calibri" w:hAnsi="Calibri" w:eastAsia="Calibri"/>
                <w:szCs w:val="21"/>
              </w:rPr>
              <w:t>，该融合</w:t>
            </w:r>
            <w:r>
              <w:rPr>
                <w:rFonts w:ascii="Calibri" w:hAnsi="Calibri" w:eastAsia="Calibri"/>
                <w:szCs w:val="21"/>
              </w:rPr>
              <w:t>蛋白可以被R1</w:t>
            </w:r>
            <w:r>
              <w:rPr>
                <w:rFonts w:hint="eastAsia" w:ascii="Calibri" w:hAnsi="Calibri" w:eastAsia="Calibri"/>
                <w:szCs w:val="21"/>
              </w:rPr>
              <w:t>识别</w:t>
            </w:r>
            <w:r>
              <w:rPr>
                <w:rFonts w:ascii="Calibri" w:hAnsi="Calibri" w:eastAsia="Calibri"/>
                <w:szCs w:val="21"/>
              </w:rPr>
              <w:t>，并引发R1</w:t>
            </w:r>
            <w:r>
              <w:rPr>
                <w:rFonts w:hint="eastAsia" w:ascii="Calibri" w:hAnsi="Calibri" w:eastAsia="Calibri"/>
                <w:szCs w:val="21"/>
              </w:rPr>
              <w:t>介导</w:t>
            </w:r>
            <w:r>
              <w:rPr>
                <w:rFonts w:ascii="Calibri" w:hAnsi="Calibri" w:eastAsia="Calibri"/>
                <w:szCs w:val="21"/>
              </w:rPr>
              <w:t>的免疫反应</w:t>
            </w:r>
            <w:r>
              <w:rPr>
                <w:rFonts w:hint="eastAsia" w:ascii="Calibri" w:hAnsi="Calibri" w:eastAsia="Calibri"/>
                <w:szCs w:val="21"/>
              </w:rPr>
              <w:t>。</w:t>
            </w:r>
            <w:r>
              <w:rPr>
                <w:rFonts w:ascii="Calibri" w:hAnsi="Calibri" w:eastAsia="Calibri"/>
                <w:szCs w:val="21"/>
              </w:rPr>
              <w:t>综上</w:t>
            </w:r>
            <w:r>
              <w:rPr>
                <w:rFonts w:hint="eastAsia" w:ascii="Calibri" w:hAnsi="Calibri" w:eastAsia="Calibri"/>
                <w:szCs w:val="21"/>
              </w:rPr>
              <w:t>所述，我们</w:t>
            </w:r>
            <w:r>
              <w:rPr>
                <w:rFonts w:ascii="Calibri" w:hAnsi="Calibri" w:eastAsia="Calibri"/>
                <w:szCs w:val="21"/>
              </w:rPr>
              <w:t>发现了一个</w:t>
            </w:r>
            <w:r>
              <w:rPr>
                <w:rFonts w:hint="eastAsia" w:ascii="Calibri" w:hAnsi="Calibri" w:eastAsia="Calibri"/>
                <w:szCs w:val="21"/>
              </w:rPr>
              <w:t>能够促使</w:t>
            </w:r>
            <w:r>
              <w:rPr>
                <w:rFonts w:ascii="Calibri" w:hAnsi="Calibri" w:eastAsia="Calibri"/>
                <w:szCs w:val="21"/>
              </w:rPr>
              <w:t>R1识别A-L</w:t>
            </w:r>
            <w:r>
              <w:rPr>
                <w:rFonts w:hint="eastAsia" w:ascii="Calibri" w:hAnsi="Calibri" w:eastAsia="Calibri"/>
                <w:szCs w:val="21"/>
              </w:rPr>
              <w:t>的功能</w:t>
            </w:r>
            <w:r>
              <w:rPr>
                <w:rFonts w:ascii="Calibri" w:hAnsi="Calibri" w:eastAsia="Calibri"/>
                <w:szCs w:val="21"/>
              </w:rPr>
              <w:t>区段</w:t>
            </w:r>
            <w:r>
              <w:rPr>
                <w:rFonts w:hint="eastAsia" w:ascii="Calibri" w:hAnsi="Calibri" w:eastAsia="Calibri"/>
                <w:szCs w:val="21"/>
              </w:rPr>
              <w:t>，使</w:t>
            </w:r>
            <w:r>
              <w:rPr>
                <w:rFonts w:ascii="Calibri" w:hAnsi="Calibri" w:eastAsia="Calibri"/>
                <w:szCs w:val="21"/>
              </w:rPr>
              <w:t>R1的</w:t>
            </w:r>
            <w:r>
              <w:rPr>
                <w:rFonts w:hint="eastAsia" w:ascii="Calibri" w:hAnsi="Calibri" w:eastAsia="Calibri"/>
                <w:szCs w:val="21"/>
              </w:rPr>
              <w:t>抗性具有</w:t>
            </w:r>
            <w:r>
              <w:rPr>
                <w:rFonts w:ascii="Calibri" w:hAnsi="Calibri" w:eastAsia="Calibri"/>
                <w:szCs w:val="21"/>
              </w:rPr>
              <w:t>达到广谱效果</w:t>
            </w:r>
            <w:r>
              <w:rPr>
                <w:rFonts w:hint="eastAsia" w:ascii="Calibri" w:hAnsi="Calibri" w:eastAsia="Calibri"/>
                <w:szCs w:val="21"/>
              </w:rPr>
              <w:t>的</w:t>
            </w:r>
            <w:r>
              <w:rPr>
                <w:rFonts w:ascii="Calibri" w:hAnsi="Calibri" w:eastAsia="Calibri"/>
                <w:szCs w:val="21"/>
              </w:rPr>
              <w:t>潜力，不</w:t>
            </w:r>
            <w:r>
              <w:rPr>
                <w:rFonts w:hint="eastAsia" w:ascii="Calibri" w:hAnsi="Calibri" w:eastAsia="Calibri"/>
                <w:szCs w:val="21"/>
              </w:rPr>
              <w:t>仅</w:t>
            </w:r>
            <w:r>
              <w:rPr>
                <w:rFonts w:ascii="Calibri" w:hAnsi="Calibri" w:eastAsia="Calibri"/>
                <w:szCs w:val="21"/>
              </w:rPr>
              <w:t>识别</w:t>
            </w:r>
            <w:r>
              <w:rPr>
                <w:rFonts w:hint="eastAsia" w:ascii="Calibri" w:hAnsi="Calibri" w:eastAsia="Calibri"/>
                <w:szCs w:val="21"/>
              </w:rPr>
              <w:t>含有</w:t>
            </w:r>
            <w:r>
              <w:rPr>
                <w:rFonts w:ascii="Calibri" w:hAnsi="Calibri" w:eastAsia="Calibri"/>
                <w:szCs w:val="21"/>
              </w:rPr>
              <w:t>AVR1</w:t>
            </w:r>
            <w:r>
              <w:rPr>
                <w:rFonts w:hint="eastAsia" w:ascii="Calibri" w:hAnsi="Calibri" w:eastAsia="Calibri"/>
                <w:szCs w:val="21"/>
              </w:rPr>
              <w:t>的菌株</w:t>
            </w:r>
            <w:r>
              <w:rPr>
                <w:rFonts w:ascii="Calibri" w:hAnsi="Calibri" w:eastAsia="Calibri"/>
                <w:szCs w:val="21"/>
              </w:rPr>
              <w:t>，还可以识别</w:t>
            </w:r>
            <w:r>
              <w:rPr>
                <w:rFonts w:hint="eastAsia" w:ascii="Calibri" w:hAnsi="Calibri" w:eastAsia="Calibri"/>
                <w:szCs w:val="21"/>
              </w:rPr>
              <w:t>含有</w:t>
            </w:r>
            <w:r>
              <w:rPr>
                <w:rFonts w:ascii="Calibri" w:hAnsi="Calibri" w:eastAsia="Calibri"/>
                <w:szCs w:val="21"/>
              </w:rPr>
              <w:t xml:space="preserve"> A-L的菌株。</w:t>
            </w:r>
            <w:r>
              <w:rPr>
                <w:rFonts w:hint="eastAsia" w:ascii="Calibri" w:hAnsi="Calibri" w:eastAsia="Calibri"/>
                <w:szCs w:val="21"/>
              </w:rPr>
              <w:t>研究</w:t>
            </w:r>
            <w:r>
              <w:rPr>
                <w:rFonts w:ascii="Calibri" w:hAnsi="Calibri" w:eastAsia="Calibri"/>
                <w:szCs w:val="21"/>
              </w:rPr>
              <w:t>结果</w:t>
            </w:r>
            <w:r>
              <w:rPr>
                <w:rFonts w:hint="eastAsia" w:ascii="Calibri" w:hAnsi="Calibri" w:eastAsia="Calibri"/>
                <w:szCs w:val="21"/>
              </w:rPr>
              <w:t>2</w:t>
            </w:r>
            <w:r>
              <w:rPr>
                <w:rFonts w:ascii="Calibri" w:hAnsi="Calibri" w:eastAsia="Calibri"/>
                <w:szCs w:val="21"/>
              </w:rPr>
              <w:t>018</w:t>
            </w:r>
            <w:r>
              <w:rPr>
                <w:rFonts w:hint="eastAsia" w:ascii="Calibri" w:hAnsi="Calibri" w:eastAsia="Calibri"/>
                <w:szCs w:val="21"/>
              </w:rPr>
              <w:t>年2月发表在</w:t>
            </w:r>
            <w:r>
              <w:rPr>
                <w:rFonts w:ascii="Calibri" w:hAnsi="Calibri" w:eastAsia="Calibri"/>
                <w:szCs w:val="21"/>
              </w:rPr>
              <w:t>Studies in Mycology</w:t>
            </w:r>
            <w:r>
              <w:rPr>
                <w:rFonts w:hint="eastAsia" w:ascii="Calibri" w:hAnsi="Calibri" w:eastAsia="Calibri"/>
                <w:szCs w:val="21"/>
              </w:rPr>
              <w:t>（IF</w:t>
            </w:r>
            <w:r>
              <w:rPr>
                <w:rFonts w:ascii="Calibri" w:hAnsi="Calibri" w:eastAsia="Calibri"/>
                <w:szCs w:val="21"/>
              </w:rPr>
              <w:t>5</w:t>
            </w:r>
            <w:r>
              <w:rPr>
                <w:rFonts w:hint="eastAsia" w:ascii="Calibri" w:hAnsi="Calibri" w:eastAsia="Calibri"/>
                <w:szCs w:val="21"/>
              </w:rPr>
              <w:t>：15</w:t>
            </w:r>
            <w:r>
              <w:rPr>
                <w:rFonts w:ascii="Calibri" w:hAnsi="Calibri" w:eastAsia="Calibri"/>
                <w:szCs w:val="21"/>
              </w:rPr>
              <w:t>.691</w:t>
            </w:r>
            <w:r>
              <w:rPr>
                <w:rFonts w:hint="eastAsia" w:ascii="Calibri" w:hAnsi="Calibri" w:eastAsia="Calibri"/>
                <w:szCs w:val="21"/>
              </w:rPr>
              <w:t>）(</w:t>
            </w:r>
            <w:r>
              <w:rPr>
                <w:rFonts w:ascii="Calibri" w:hAnsi="Calibri" w:eastAsia="Calibri"/>
                <w:szCs w:val="21"/>
              </w:rPr>
              <w:t>Du et al., Studies in Mycology, 2018</w:t>
            </w:r>
            <w:r>
              <w:rPr>
                <w:rFonts w:hint="eastAsia" w:ascii="Calibri" w:hAnsi="Calibri" w:eastAsia="Calibri"/>
                <w:szCs w:val="21"/>
              </w:rPr>
              <w:t xml:space="preserve">, </w:t>
            </w:r>
            <w:r>
              <w:rPr>
                <w:rFonts w:ascii="Calibri" w:hAnsi="Calibri" w:eastAsia="Calibri"/>
                <w:szCs w:val="21"/>
              </w:rPr>
              <w:t>89: 85–93</w:t>
            </w:r>
            <w:r>
              <w:rPr>
                <w:rFonts w:hint="eastAsia" w:ascii="Calibri" w:hAnsi="Calibri" w:eastAsia="Calibri"/>
                <w:szCs w:val="21"/>
              </w:rPr>
              <w:t>)</w:t>
            </w:r>
            <w:r>
              <w:rPr>
                <w:rFonts w:ascii="Calibri" w:hAnsi="Calibri" w:eastAsia="Calibri"/>
                <w:szCs w:val="21"/>
              </w:rPr>
              <w:t>。</w:t>
            </w:r>
          </w:p>
          <w:p>
            <w:pPr>
              <w:rPr>
                <w:rFonts w:hint="eastAsia" w:ascii="仿宋_GB2312" w:hAnsi="仿宋_GB2312" w:eastAsiaTheme="minorEastAsia"/>
                <w:sz w:val="28"/>
                <w:szCs w:val="28"/>
              </w:rPr>
            </w:pPr>
          </w:p>
        </w:tc>
      </w:tr>
    </w:tbl>
    <w:p>
      <w:pPr>
        <w:rPr>
          <w:rFonts w:ascii="仿宋_GB2312" w:hAnsi="仿宋_GB2312" w:eastAsia="仿宋_GB2312"/>
          <w:sz w:val="28"/>
          <w:szCs w:val="28"/>
        </w:rPr>
      </w:pPr>
    </w:p>
    <w:p>
      <w:pPr>
        <w:rPr>
          <w:rFonts w:ascii="仿宋_GB2312" w:hAnsi="仿宋_GB2312" w:eastAsia="仿宋_GB2312"/>
          <w:sz w:val="28"/>
          <w:szCs w:val="28"/>
        </w:rPr>
      </w:pPr>
      <w:r>
        <w:rPr>
          <w:rFonts w:hint="eastAsia" w:ascii="仿宋_GB2312" w:hAnsi="仿宋_GB2312" w:eastAsia="仿宋_GB2312"/>
          <w:sz w:val="28"/>
          <w:szCs w:val="28"/>
        </w:rPr>
        <w:t>五、新增省部级以上研究课题情况（限</w:t>
      </w:r>
      <w:r>
        <w:rPr>
          <w:rFonts w:hint="eastAsia" w:ascii="仿宋_GB2312" w:hAnsi="仿宋_GB2312" w:eastAsia="仿宋_GB2312"/>
          <w:bCs/>
          <w:sz w:val="28"/>
          <w:szCs w:val="28"/>
        </w:rPr>
        <w:t>主持的研究课题</w:t>
      </w:r>
      <w:r>
        <w:rPr>
          <w:rFonts w:hint="eastAsia" w:ascii="仿宋_GB2312" w:hAnsi="仿宋_GB2312" w:eastAsia="仿宋_GB2312"/>
          <w:sz w:val="28"/>
          <w:szCs w:val="28"/>
        </w:rPr>
        <w:t>）</w:t>
      </w:r>
    </w:p>
    <w:tbl>
      <w:tblPr>
        <w:tblStyle w:val="7"/>
        <w:tblW w:w="9498" w:type="dxa"/>
        <w:tblInd w:w="-525" w:type="dxa"/>
        <w:tblLayout w:type="fixed"/>
        <w:tblCellMar>
          <w:top w:w="0" w:type="dxa"/>
          <w:left w:w="10" w:type="dxa"/>
          <w:bottom w:w="0" w:type="dxa"/>
          <w:right w:w="10" w:type="dxa"/>
        </w:tblCellMar>
      </w:tblPr>
      <w:tblGrid>
        <w:gridCol w:w="9498"/>
      </w:tblGrid>
      <w:tr>
        <w:tblPrEx>
          <w:tblLayout w:type="fixed"/>
          <w:tblCellMar>
            <w:top w:w="0" w:type="dxa"/>
            <w:left w:w="10" w:type="dxa"/>
            <w:bottom w:w="0" w:type="dxa"/>
            <w:right w:w="10" w:type="dxa"/>
          </w:tblCellMar>
        </w:tblPrEx>
        <w:trPr>
          <w:trHeight w:val="3281" w:hRule="atLeast"/>
        </w:trPr>
        <w:tc>
          <w:tcPr>
            <w:tcW w:w="949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ascii="仿宋_GB2312" w:hAnsi="仿宋_GB2312" w:eastAsia="仿宋_GB2312"/>
                <w:i/>
                <w:color w:val="404040"/>
                <w:sz w:val="24"/>
                <w:shd w:val="clear" w:color="auto" w:fill="C0C0C0"/>
              </w:rPr>
            </w:pPr>
            <w:r>
              <w:rPr>
                <w:rFonts w:hint="eastAsia" w:ascii="仿宋_GB2312" w:hAnsi="仿宋_GB2312" w:eastAsia="仿宋_GB2312"/>
                <w:i/>
                <w:color w:val="404040"/>
                <w:sz w:val="24"/>
                <w:shd w:val="clear" w:color="auto" w:fill="C0C0C0"/>
              </w:rPr>
              <w:t>请按照课题名称；课题来源；到位经费；主持人；起止年月顺序填写</w:t>
            </w:r>
          </w:p>
          <w:p>
            <w:pPr>
              <w:ind w:firstLine="420"/>
              <w:jc w:val="left"/>
              <w:rPr>
                <w:rFonts w:ascii="宋体" w:hAnsi="宋体"/>
                <w:color w:val="333333"/>
                <w:szCs w:val="21"/>
              </w:rPr>
            </w:pPr>
            <w:bookmarkStart w:id="0" w:name="OLE_LINK1"/>
            <w:bookmarkEnd w:id="0"/>
            <w:bookmarkStart w:id="1" w:name="OLE_LINK2"/>
            <w:bookmarkEnd w:id="1"/>
            <w:r>
              <w:rPr>
                <w:rFonts w:hint="eastAsia" w:ascii="宋体" w:hAnsi="宋体"/>
                <w:color w:val="333333"/>
                <w:szCs w:val="21"/>
              </w:rPr>
              <w:t>1）晚疫病菌寄主细胞核定位效应蛋白PITG_20303的毒性作用机理，</w:t>
            </w:r>
            <w:r>
              <w:rPr>
                <w:rFonts w:ascii="宋体" w:hAnsi="宋体"/>
                <w:color w:val="333333"/>
                <w:szCs w:val="21"/>
              </w:rPr>
              <w:t>国家自然科学基金(青年基金项目)，</w:t>
            </w:r>
            <w:r>
              <w:rPr>
                <w:rFonts w:hint="eastAsia" w:ascii="宋体" w:hAnsi="宋体"/>
                <w:color w:val="333333"/>
                <w:szCs w:val="21"/>
              </w:rPr>
              <w:t>总经费25万，已到位经费15万，</w:t>
            </w:r>
            <w:r>
              <w:rPr>
                <w:rFonts w:ascii="宋体" w:hAnsi="宋体"/>
                <w:color w:val="333333"/>
                <w:szCs w:val="21"/>
              </w:rPr>
              <w:t>主持</w:t>
            </w:r>
            <w:r>
              <w:rPr>
                <w:rFonts w:hint="eastAsia" w:ascii="宋体" w:hAnsi="宋体"/>
                <w:color w:val="333333"/>
                <w:szCs w:val="21"/>
              </w:rPr>
              <w:t>人杜羽，</w:t>
            </w:r>
            <w:r>
              <w:rPr>
                <w:rFonts w:ascii="宋体" w:hAnsi="宋体"/>
                <w:color w:val="333333"/>
                <w:szCs w:val="21"/>
              </w:rPr>
              <w:t>2018-2020；</w:t>
            </w:r>
          </w:p>
          <w:p>
            <w:pPr>
              <w:jc w:val="left"/>
              <w:rPr>
                <w:rFonts w:ascii="宋体" w:hAnsi="宋体"/>
                <w:color w:val="333333"/>
                <w:szCs w:val="21"/>
              </w:rPr>
            </w:pPr>
            <w:r>
              <w:rPr>
                <w:rFonts w:ascii="宋体" w:hAnsi="宋体"/>
                <w:color w:val="333333"/>
                <w:szCs w:val="21"/>
              </w:rPr>
              <w:t>　　</w:t>
            </w:r>
            <w:r>
              <w:rPr>
                <w:rFonts w:hint="eastAsia" w:ascii="宋体" w:hAnsi="宋体"/>
                <w:color w:val="333333"/>
                <w:szCs w:val="21"/>
              </w:rPr>
              <w:t>2）寄主诱导基因沉默技术在辣椒-疫霉菌体系中的建立，</w:t>
            </w:r>
            <w:r>
              <w:rPr>
                <w:rFonts w:ascii="宋体" w:hAnsi="宋体"/>
                <w:color w:val="333333"/>
                <w:szCs w:val="21"/>
              </w:rPr>
              <w:t>陕西省自然科学基金(青年人才项目)，</w:t>
            </w:r>
            <w:r>
              <w:rPr>
                <w:rFonts w:hint="eastAsia" w:ascii="宋体" w:hAnsi="宋体"/>
                <w:color w:val="333333"/>
                <w:szCs w:val="21"/>
              </w:rPr>
              <w:t>到位经费</w:t>
            </w:r>
            <w:r>
              <w:rPr>
                <w:rFonts w:ascii="宋体" w:hAnsi="宋体"/>
                <w:color w:val="333333"/>
                <w:szCs w:val="21"/>
              </w:rPr>
              <w:t>5万，主持</w:t>
            </w:r>
            <w:r>
              <w:rPr>
                <w:rFonts w:hint="eastAsia" w:ascii="宋体" w:hAnsi="宋体"/>
                <w:color w:val="333333"/>
                <w:szCs w:val="21"/>
              </w:rPr>
              <w:t>人杜羽，</w:t>
            </w:r>
            <w:r>
              <w:rPr>
                <w:rFonts w:ascii="宋体" w:hAnsi="宋体"/>
                <w:color w:val="333333"/>
                <w:szCs w:val="21"/>
              </w:rPr>
              <w:t>2017-2018；</w:t>
            </w:r>
          </w:p>
          <w:p>
            <w:pPr>
              <w:jc w:val="left"/>
              <w:rPr>
                <w:rFonts w:ascii="宋体" w:hAnsi="宋体"/>
                <w:color w:val="333333"/>
                <w:szCs w:val="21"/>
              </w:rPr>
            </w:pPr>
            <w:r>
              <w:rPr>
                <w:rFonts w:ascii="宋体" w:hAnsi="宋体"/>
                <w:color w:val="333333"/>
                <w:szCs w:val="21"/>
              </w:rPr>
              <w:t>　　</w:t>
            </w:r>
            <w:r>
              <w:rPr>
                <w:rFonts w:hint="eastAsia" w:ascii="宋体" w:hAnsi="宋体"/>
                <w:color w:val="333333"/>
                <w:szCs w:val="21"/>
              </w:rPr>
              <w:t>3）致病疫霉菌效应因子AVR1-like寄主</w:t>
            </w:r>
            <w:r>
              <w:rPr>
                <w:rFonts w:ascii="宋体" w:hAnsi="宋体"/>
                <w:color w:val="333333"/>
                <w:szCs w:val="21"/>
              </w:rPr>
              <w:t>靶标筛选及</w:t>
            </w:r>
            <w:r>
              <w:rPr>
                <w:rFonts w:hint="eastAsia" w:ascii="宋体" w:hAnsi="宋体"/>
                <w:color w:val="333333"/>
                <w:szCs w:val="21"/>
              </w:rPr>
              <w:t>功能</w:t>
            </w:r>
            <w:r>
              <w:rPr>
                <w:rFonts w:ascii="宋体" w:hAnsi="宋体"/>
                <w:color w:val="333333"/>
                <w:szCs w:val="21"/>
              </w:rPr>
              <w:t>分析，中国博士后60批面上基金一等资助，</w:t>
            </w:r>
            <w:r>
              <w:rPr>
                <w:rFonts w:hint="eastAsia" w:ascii="宋体" w:hAnsi="宋体"/>
                <w:color w:val="333333"/>
                <w:szCs w:val="21"/>
              </w:rPr>
              <w:t>到位经费</w:t>
            </w:r>
            <w:r>
              <w:rPr>
                <w:rFonts w:ascii="宋体" w:hAnsi="宋体"/>
                <w:color w:val="333333"/>
                <w:szCs w:val="21"/>
              </w:rPr>
              <w:t>8万，主持</w:t>
            </w:r>
            <w:r>
              <w:rPr>
                <w:rFonts w:hint="eastAsia" w:ascii="宋体" w:hAnsi="宋体"/>
                <w:color w:val="333333"/>
                <w:szCs w:val="21"/>
              </w:rPr>
              <w:t>人杜羽，</w:t>
            </w:r>
            <w:r>
              <w:rPr>
                <w:rFonts w:ascii="宋体" w:hAnsi="宋体"/>
                <w:color w:val="333333"/>
                <w:szCs w:val="21"/>
              </w:rPr>
              <w:t>2016-2018；</w:t>
            </w:r>
          </w:p>
          <w:p>
            <w:pPr>
              <w:jc w:val="left"/>
              <w:rPr>
                <w:rFonts w:ascii="宋体" w:hAnsi="宋体"/>
                <w:color w:val="333333"/>
                <w:szCs w:val="21"/>
              </w:rPr>
            </w:pPr>
            <w:r>
              <w:rPr>
                <w:rFonts w:ascii="宋体" w:hAnsi="宋体"/>
                <w:color w:val="333333"/>
                <w:szCs w:val="21"/>
              </w:rPr>
              <w:t>　</w:t>
            </w:r>
          </w:p>
        </w:tc>
      </w:tr>
    </w:tbl>
    <w:p>
      <w:pPr>
        <w:rPr>
          <w:rFonts w:ascii="仿宋_GB2312" w:hAnsi="仿宋_GB2312" w:eastAsia="仿宋_GB2312"/>
          <w:sz w:val="28"/>
          <w:szCs w:val="28"/>
        </w:rPr>
      </w:pPr>
    </w:p>
    <w:p>
      <w:pPr>
        <w:rPr>
          <w:rFonts w:ascii="仿宋_GB2312" w:hAnsi="仿宋_GB2312" w:eastAsia="仿宋_GB2312"/>
          <w:b/>
          <w:sz w:val="28"/>
          <w:szCs w:val="28"/>
        </w:rPr>
      </w:pPr>
      <w:r>
        <w:rPr>
          <w:rFonts w:hint="eastAsia" w:ascii="仿宋_GB2312" w:hAnsi="仿宋_GB2312" w:eastAsia="仿宋_GB2312"/>
          <w:sz w:val="28"/>
          <w:szCs w:val="28"/>
        </w:rPr>
        <w:t>六、发表学术论文情况</w:t>
      </w:r>
      <w:r>
        <w:rPr>
          <w:rFonts w:hint="eastAsia" w:ascii="仿宋_GB2312" w:hAnsi="仿宋_GB2312" w:eastAsia="仿宋_GB2312"/>
          <w:b/>
          <w:sz w:val="28"/>
          <w:szCs w:val="28"/>
        </w:rPr>
        <w:t>（限第一作者或通讯作者）</w:t>
      </w:r>
    </w:p>
    <w:tbl>
      <w:tblPr>
        <w:tblStyle w:val="7"/>
        <w:tblW w:w="9501" w:type="dxa"/>
        <w:jc w:val="center"/>
        <w:tblInd w:w="0" w:type="dxa"/>
        <w:tblLayout w:type="fixed"/>
        <w:tblCellMar>
          <w:top w:w="0" w:type="dxa"/>
          <w:left w:w="10" w:type="dxa"/>
          <w:bottom w:w="0" w:type="dxa"/>
          <w:right w:w="10" w:type="dxa"/>
        </w:tblCellMar>
      </w:tblPr>
      <w:tblGrid>
        <w:gridCol w:w="9501"/>
      </w:tblGrid>
      <w:tr>
        <w:tblPrEx>
          <w:tblLayout w:type="fixed"/>
          <w:tblCellMar>
            <w:top w:w="0" w:type="dxa"/>
            <w:left w:w="10" w:type="dxa"/>
            <w:bottom w:w="0" w:type="dxa"/>
            <w:right w:w="10" w:type="dxa"/>
          </w:tblCellMar>
        </w:tblPrEx>
        <w:trPr>
          <w:trHeight w:val="888" w:hRule="atLeast"/>
          <w:jc w:val="center"/>
        </w:trPr>
        <w:tc>
          <w:tcPr>
            <w:tcW w:w="9501"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left"/>
              <w:rPr>
                <w:rFonts w:ascii="仿宋_GB2312" w:hAnsi="仿宋_GB2312" w:eastAsia="仿宋_GB2312"/>
                <w:sz w:val="28"/>
                <w:szCs w:val="28"/>
              </w:rPr>
            </w:pPr>
            <w:r>
              <w:rPr>
                <w:rFonts w:hint="eastAsia" w:ascii="仿宋_GB2312" w:hAnsi="仿宋_GB2312" w:eastAsia="仿宋_GB2312"/>
                <w:sz w:val="28"/>
                <w:szCs w:val="28"/>
              </w:rPr>
              <w:t>国际三大检索系统、SSCI、CSSCI收录论文情况（影响因子及分区情况，以中科院SCI期刊分区为准）</w:t>
            </w:r>
          </w:p>
        </w:tc>
      </w:tr>
      <w:tr>
        <w:tblPrEx>
          <w:tblLayout w:type="fixed"/>
          <w:tblCellMar>
            <w:top w:w="0" w:type="dxa"/>
            <w:left w:w="10" w:type="dxa"/>
            <w:bottom w:w="0" w:type="dxa"/>
            <w:right w:w="10" w:type="dxa"/>
          </w:tblCellMar>
        </w:tblPrEx>
        <w:trPr>
          <w:trHeight w:val="2227" w:hRule="atLeast"/>
          <w:jc w:val="center"/>
        </w:trPr>
        <w:tc>
          <w:tcPr>
            <w:tcW w:w="9501"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left"/>
              <w:rPr>
                <w:rFonts w:ascii="仿宋_GB2312" w:hAnsi="仿宋_GB2312" w:eastAsia="仿宋_GB2312"/>
                <w:i/>
                <w:color w:val="404040"/>
                <w:sz w:val="24"/>
              </w:rPr>
            </w:pPr>
            <w:bookmarkStart w:id="2" w:name="OLE_LINK5"/>
            <w:bookmarkEnd w:id="2"/>
            <w:bookmarkStart w:id="3" w:name="OLE_LINK6"/>
            <w:bookmarkEnd w:id="3"/>
            <w:r>
              <w:rPr>
                <w:rFonts w:hint="eastAsia" w:ascii="仿宋_GB2312" w:hAnsi="仿宋_GB2312" w:eastAsia="仿宋_GB2312"/>
                <w:i/>
                <w:color w:val="404040"/>
                <w:sz w:val="24"/>
                <w:shd w:val="clear" w:color="auto" w:fill="C0C0C0"/>
              </w:rPr>
              <w:t>请按照作者；论文题目；刊物名称；发表时间；影响因子及中科院系统分区；</w:t>
            </w:r>
            <w:r>
              <w:rPr>
                <w:rFonts w:ascii="仿宋_GB2312" w:hAnsi="仿宋_GB2312" w:eastAsia="仿宋_GB2312"/>
                <w:i/>
                <w:color w:val="404040"/>
                <w:sz w:val="24"/>
                <w:shd w:val="clear" w:color="auto" w:fill="C0C0C0"/>
              </w:rPr>
              <w:t>引用频次</w:t>
            </w:r>
            <w:r>
              <w:rPr>
                <w:rFonts w:hint="eastAsia" w:ascii="仿宋_GB2312" w:hAnsi="仿宋_GB2312" w:eastAsia="仿宋_GB2312"/>
                <w:i/>
                <w:color w:val="404040"/>
                <w:sz w:val="24"/>
                <w:shd w:val="clear" w:color="auto" w:fill="C0C0C0"/>
              </w:rPr>
              <w:t>顺序填写</w:t>
            </w:r>
          </w:p>
          <w:p>
            <w:pPr>
              <w:pStyle w:val="3"/>
              <w:bidi w:val="0"/>
              <w:rPr>
                <w:rFonts w:eastAsia="仿宋_GB2312"/>
                <w:szCs w:val="21"/>
              </w:rPr>
            </w:pPr>
            <w:r>
              <w:rPr>
                <w:rFonts w:eastAsia="仿宋_GB2312"/>
                <w:szCs w:val="21"/>
              </w:rPr>
              <w:t>(1)</w:t>
            </w:r>
            <w:r>
              <w:rPr>
                <w:rFonts w:eastAsia="仿宋_GB2312"/>
                <w:b/>
                <w:szCs w:val="21"/>
              </w:rPr>
              <w:t xml:space="preserve"> Yu Du</w:t>
            </w:r>
            <w:r>
              <w:rPr>
                <w:rFonts w:eastAsia="仿宋_GB2312"/>
                <w:szCs w:val="21"/>
              </w:rPr>
              <w:t>, Rob Weide, Zhijian Zhao, Dmitry Lapin, Peter Msimuko, Francine Govers* and Klaas Bouwmeester. RXLR effector diversity in Phytophthora infestans isolates determines recognition by potato resistance proteins; the case study AVR1 and R1. Studies in Mycology, 2018, 89: 85-93. (IF2016 = 14</w:t>
            </w:r>
            <w:r>
              <w:rPr>
                <w:szCs w:val="21"/>
              </w:rPr>
              <w:t>，</w:t>
            </w:r>
            <w:r>
              <w:rPr>
                <w:rFonts w:eastAsia="仿宋_GB2312"/>
                <w:szCs w:val="21"/>
              </w:rPr>
              <w:t>中科院大</w:t>
            </w:r>
            <w:r>
              <w:rPr>
                <w:rFonts w:eastAsia="微软雅黑"/>
                <w:szCs w:val="21"/>
              </w:rPr>
              <w:t>类</w:t>
            </w:r>
            <w:r>
              <w:rPr>
                <w:rFonts w:eastAsia="MS Mincho"/>
                <w:szCs w:val="21"/>
              </w:rPr>
              <w:t>分区生物一区</w:t>
            </w:r>
            <w:r>
              <w:rPr>
                <w:rFonts w:eastAsia="仿宋_GB2312"/>
                <w:szCs w:val="21"/>
              </w:rPr>
              <w:t>top期刊</w:t>
            </w:r>
            <w:r>
              <w:rPr>
                <w:rFonts w:hint="eastAsia" w:eastAsia="仿宋_GB2312"/>
                <w:szCs w:val="21"/>
              </w:rPr>
              <w:t>，引</w:t>
            </w:r>
            <w:r>
              <w:rPr>
                <w:szCs w:val="21"/>
              </w:rPr>
              <w:t>用2次</w:t>
            </w:r>
            <w:r>
              <w:rPr>
                <w:rFonts w:eastAsia="仿宋_GB2312"/>
                <w:szCs w:val="21"/>
              </w:rPr>
              <w:t>)</w:t>
            </w:r>
          </w:p>
          <w:p>
            <w:pPr>
              <w:rPr>
                <w:rFonts w:eastAsia="仿宋_GB2312"/>
                <w:szCs w:val="21"/>
              </w:rPr>
            </w:pPr>
            <w:r>
              <w:rPr>
                <w:rFonts w:eastAsia="仿宋_GB2312"/>
                <w:szCs w:val="21"/>
              </w:rPr>
              <w:t xml:space="preserve">(2) </w:t>
            </w:r>
            <w:r>
              <w:rPr>
                <w:rFonts w:eastAsia="仿宋_GB2312"/>
                <w:b/>
                <w:szCs w:val="21"/>
              </w:rPr>
              <w:t>Yu Du</w:t>
            </w:r>
            <w:r>
              <w:rPr>
                <w:rFonts w:eastAsia="仿宋_GB2312"/>
                <w:szCs w:val="21"/>
              </w:rPr>
              <w:t>#, Elysa J. R. Overdijk#, Jeroen A. Berg, Francine Govers and Klaas Bouwmeester. Solanaceous exocyst subunits are involved in immunity to diverse plant pathogens. Journal of Experimental Botany, 2018, 69 (3): 655-666. (IF2016 = 5.83</w:t>
            </w:r>
            <w:r>
              <w:rPr>
                <w:szCs w:val="21"/>
              </w:rPr>
              <w:t>，</w:t>
            </w:r>
            <w:r>
              <w:rPr>
                <w:rFonts w:eastAsia="仿宋_GB2312"/>
                <w:szCs w:val="21"/>
              </w:rPr>
              <w:t>中科院大</w:t>
            </w:r>
            <w:r>
              <w:rPr>
                <w:rFonts w:eastAsia="微软雅黑"/>
                <w:szCs w:val="21"/>
              </w:rPr>
              <w:t>类</w:t>
            </w:r>
            <w:r>
              <w:rPr>
                <w:rFonts w:eastAsia="MS Mincho"/>
                <w:szCs w:val="21"/>
              </w:rPr>
              <w:t>分区生物二区</w:t>
            </w:r>
            <w:r>
              <w:rPr>
                <w:rFonts w:eastAsia="仿宋_GB2312"/>
                <w:szCs w:val="21"/>
              </w:rPr>
              <w:t>top期刊，</w:t>
            </w:r>
            <w:r>
              <w:rPr>
                <w:szCs w:val="21"/>
              </w:rPr>
              <w:t>引用4次</w:t>
            </w:r>
            <w:r>
              <w:rPr>
                <w:rFonts w:hint="eastAsia" w:eastAsia="仿宋_GB2312"/>
                <w:szCs w:val="21"/>
              </w:rPr>
              <w:t>)</w:t>
            </w:r>
          </w:p>
        </w:tc>
      </w:tr>
      <w:tr>
        <w:tblPrEx>
          <w:tblLayout w:type="fixed"/>
          <w:tblCellMar>
            <w:top w:w="0" w:type="dxa"/>
            <w:left w:w="10" w:type="dxa"/>
            <w:bottom w:w="0" w:type="dxa"/>
            <w:right w:w="10" w:type="dxa"/>
          </w:tblCellMar>
        </w:tblPrEx>
        <w:trPr>
          <w:trHeight w:val="771" w:hRule="atLeast"/>
          <w:jc w:val="center"/>
        </w:trPr>
        <w:tc>
          <w:tcPr>
            <w:tcW w:w="9501"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ascii="仿宋_GB2312" w:hAnsi="仿宋_GB2312" w:eastAsia="仿宋_GB2312"/>
                <w:sz w:val="28"/>
                <w:szCs w:val="28"/>
              </w:rPr>
            </w:pPr>
            <w:r>
              <w:rPr>
                <w:rFonts w:hint="eastAsia" w:ascii="仿宋_GB2312" w:hAnsi="仿宋_GB2312" w:eastAsia="仿宋_GB2312"/>
                <w:sz w:val="28"/>
                <w:szCs w:val="28"/>
              </w:rPr>
              <w:t>发表其他论文情况</w:t>
            </w:r>
          </w:p>
        </w:tc>
      </w:tr>
      <w:tr>
        <w:tblPrEx>
          <w:tblLayout w:type="fixed"/>
          <w:tblCellMar>
            <w:top w:w="0" w:type="dxa"/>
            <w:left w:w="10" w:type="dxa"/>
            <w:bottom w:w="0" w:type="dxa"/>
            <w:right w:w="10" w:type="dxa"/>
          </w:tblCellMar>
        </w:tblPrEx>
        <w:trPr>
          <w:trHeight w:val="1265" w:hRule="atLeast"/>
          <w:jc w:val="center"/>
        </w:trPr>
        <w:tc>
          <w:tcPr>
            <w:tcW w:w="9501"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left"/>
              <w:rPr>
                <w:rFonts w:ascii="仿宋_GB2312" w:hAnsi="仿宋_GB2312" w:eastAsia="仿宋_GB2312"/>
                <w:i/>
                <w:color w:val="404040"/>
                <w:sz w:val="24"/>
              </w:rPr>
            </w:pPr>
            <w:r>
              <w:rPr>
                <w:rFonts w:hint="eastAsia" w:ascii="仿宋_GB2312" w:hAnsi="仿宋_GB2312" w:eastAsia="仿宋_GB2312"/>
                <w:i/>
                <w:color w:val="404040"/>
                <w:sz w:val="24"/>
                <w:shd w:val="clear" w:color="auto" w:fill="C0C0C0"/>
              </w:rPr>
              <w:t>请按照作者；论文题目；刊物名称；发表</w:t>
            </w:r>
            <w:r>
              <w:rPr>
                <w:rFonts w:ascii="仿宋_GB2312" w:hAnsi="仿宋_GB2312" w:eastAsia="仿宋_GB2312"/>
                <w:i/>
                <w:color w:val="404040"/>
                <w:sz w:val="24"/>
                <w:shd w:val="clear" w:color="auto" w:fill="C0C0C0"/>
              </w:rPr>
              <w:t>日期；</w:t>
            </w:r>
            <w:r>
              <w:rPr>
                <w:rFonts w:hint="eastAsia" w:ascii="仿宋_GB2312" w:hAnsi="仿宋_GB2312" w:eastAsia="仿宋_GB2312"/>
                <w:i/>
                <w:color w:val="404040"/>
                <w:sz w:val="24"/>
                <w:shd w:val="clear" w:color="auto" w:fill="C0C0C0"/>
              </w:rPr>
              <w:t>刊物类别顺序填写</w:t>
            </w:r>
          </w:p>
          <w:p>
            <w:pPr>
              <w:jc w:val="left"/>
              <w:rPr>
                <w:rFonts w:ascii="仿宋_GB2312" w:hAnsi="仿宋_GB2312" w:eastAsia="仿宋_GB2312"/>
                <w:color w:val="404040"/>
                <w:sz w:val="28"/>
                <w:szCs w:val="28"/>
                <w:shd w:val="clear" w:color="auto" w:fill="C0C0C0"/>
              </w:rPr>
            </w:pPr>
            <w:r>
              <w:rPr>
                <w:rFonts w:hint="eastAsia" w:ascii="仿宋_GB2312" w:hAnsi="仿宋_GB2312" w:eastAsia="仿宋_GB2312"/>
                <w:color w:val="404040"/>
                <w:sz w:val="28"/>
                <w:szCs w:val="28"/>
                <w:shd w:val="clear" w:color="auto" w:fill="C0C0C0"/>
              </w:rPr>
              <w:t>无</w:t>
            </w:r>
          </w:p>
          <w:p>
            <w:pPr>
              <w:spacing w:line="640" w:lineRule="exact"/>
              <w:jc w:val="center"/>
              <w:rPr>
                <w:rFonts w:ascii="仿宋_GB2312" w:hAnsi="仿宋_GB2312" w:eastAsia="仿宋_GB2312"/>
                <w:sz w:val="28"/>
                <w:szCs w:val="28"/>
              </w:rPr>
            </w:pPr>
          </w:p>
        </w:tc>
      </w:tr>
    </w:tbl>
    <w:p>
      <w:pPr>
        <w:rPr>
          <w:rFonts w:ascii="仿宋_GB2312" w:hAnsi="仿宋_GB2312" w:eastAsia="仿宋_GB2312"/>
          <w:sz w:val="28"/>
          <w:szCs w:val="28"/>
        </w:rPr>
      </w:pPr>
    </w:p>
    <w:p>
      <w:pPr>
        <w:rPr>
          <w:rFonts w:ascii="仿宋_GB2312" w:hAnsi="仿宋_GB2312" w:eastAsia="仿宋_GB2312"/>
          <w:sz w:val="28"/>
          <w:szCs w:val="28"/>
        </w:rPr>
      </w:pPr>
      <w:r>
        <w:rPr>
          <w:rFonts w:hint="eastAsia" w:ascii="仿宋_GB2312" w:hAnsi="仿宋_GB2312" w:eastAsia="仿宋_GB2312"/>
          <w:sz w:val="28"/>
          <w:szCs w:val="28"/>
        </w:rPr>
        <w:t>七、新获省部级以上奖励、</w:t>
      </w:r>
      <w:r>
        <w:rPr>
          <w:rFonts w:ascii="仿宋_GB2312" w:hAnsi="仿宋_GB2312" w:eastAsia="仿宋_GB2312"/>
          <w:sz w:val="28"/>
          <w:szCs w:val="28"/>
        </w:rPr>
        <w:t>申请获批</w:t>
      </w:r>
      <w:r>
        <w:rPr>
          <w:rFonts w:hint="eastAsia" w:ascii="仿宋_GB2312" w:hAnsi="仿宋_GB2312" w:eastAsia="仿宋_GB2312"/>
          <w:sz w:val="28"/>
          <w:szCs w:val="28"/>
        </w:rPr>
        <w:t>专利情况</w:t>
      </w:r>
    </w:p>
    <w:tbl>
      <w:tblPr>
        <w:tblStyle w:val="7"/>
        <w:tblW w:w="9555" w:type="dxa"/>
        <w:tblInd w:w="-525" w:type="dxa"/>
        <w:tblLayout w:type="fixed"/>
        <w:tblCellMar>
          <w:top w:w="0" w:type="dxa"/>
          <w:left w:w="10" w:type="dxa"/>
          <w:bottom w:w="0" w:type="dxa"/>
          <w:right w:w="10" w:type="dxa"/>
        </w:tblCellMar>
      </w:tblPr>
      <w:tblGrid>
        <w:gridCol w:w="9555"/>
      </w:tblGrid>
      <w:tr>
        <w:tblPrEx>
          <w:tblLayout w:type="fixed"/>
          <w:tblCellMar>
            <w:top w:w="0" w:type="dxa"/>
            <w:left w:w="10" w:type="dxa"/>
            <w:bottom w:w="0" w:type="dxa"/>
            <w:right w:w="10" w:type="dxa"/>
          </w:tblCellMar>
        </w:tblPrEx>
        <w:trPr>
          <w:trHeight w:val="666" w:hRule="atLeast"/>
        </w:trPr>
        <w:tc>
          <w:tcPr>
            <w:tcW w:w="9555" w:type="dxa"/>
            <w:tcBorders>
              <w:top w:val="single" w:color="000000" w:sz="6" w:space="0"/>
              <w:left w:val="single" w:color="000000" w:sz="4" w:space="0"/>
              <w:bottom w:val="single" w:color="000000" w:sz="4" w:space="0"/>
              <w:right w:val="single" w:color="000000" w:sz="4" w:space="0"/>
            </w:tcBorders>
            <w:tcMar>
              <w:top w:w="0" w:type="dxa"/>
              <w:left w:w="108" w:type="dxa"/>
              <w:bottom w:w="0" w:type="dxa"/>
              <w:right w:w="108" w:type="dxa"/>
            </w:tcMar>
          </w:tcPr>
          <w:p>
            <w:pPr>
              <w:spacing w:line="440" w:lineRule="exact"/>
              <w:jc w:val="left"/>
              <w:rPr>
                <w:rFonts w:ascii="仿宋_GB2312" w:hAnsi="仿宋_GB2312" w:eastAsia="仿宋_GB2312"/>
                <w:sz w:val="28"/>
                <w:szCs w:val="28"/>
              </w:rPr>
            </w:pPr>
            <w:r>
              <w:rPr>
                <w:rFonts w:hint="eastAsia" w:ascii="仿宋_GB2312" w:hAnsi="仿宋_GB2312" w:eastAsia="仿宋_GB2312"/>
                <w:sz w:val="28"/>
                <w:szCs w:val="28"/>
              </w:rPr>
              <w:t>无</w:t>
            </w:r>
          </w:p>
        </w:tc>
      </w:tr>
    </w:tbl>
    <w:p>
      <w:pPr>
        <w:rPr>
          <w:rFonts w:ascii="仿宋_GB2312" w:hAnsi="仿宋_GB2312" w:eastAsia="仿宋_GB2312"/>
          <w:sz w:val="28"/>
          <w:szCs w:val="28"/>
        </w:rPr>
      </w:pPr>
      <w:r>
        <w:rPr>
          <w:rFonts w:hint="eastAsia" w:ascii="仿宋_GB2312" w:hAnsi="仿宋_GB2312" w:eastAsia="仿宋_GB2312"/>
          <w:sz w:val="28"/>
          <w:szCs w:val="28"/>
        </w:rPr>
        <w:t>八、开展</w:t>
      </w:r>
      <w:r>
        <w:rPr>
          <w:rFonts w:ascii="仿宋_GB2312" w:hAnsi="仿宋_GB2312" w:eastAsia="仿宋_GB2312"/>
          <w:sz w:val="28"/>
          <w:szCs w:val="28"/>
        </w:rPr>
        <w:t>教学</w:t>
      </w:r>
      <w:r>
        <w:rPr>
          <w:rFonts w:hint="eastAsia" w:ascii="仿宋_GB2312" w:hAnsi="仿宋_GB2312" w:eastAsia="仿宋_GB2312"/>
          <w:sz w:val="28"/>
          <w:szCs w:val="28"/>
        </w:rPr>
        <w:t>工作</w:t>
      </w:r>
      <w:r>
        <w:rPr>
          <w:rFonts w:ascii="仿宋_GB2312" w:hAnsi="仿宋_GB2312" w:eastAsia="仿宋_GB2312"/>
          <w:sz w:val="28"/>
          <w:szCs w:val="28"/>
        </w:rPr>
        <w:t>情况</w:t>
      </w:r>
    </w:p>
    <w:tbl>
      <w:tblPr>
        <w:tblStyle w:val="7"/>
        <w:tblW w:w="9540" w:type="dxa"/>
        <w:tblInd w:w="-540" w:type="dxa"/>
        <w:tblLayout w:type="fixed"/>
        <w:tblCellMar>
          <w:top w:w="0" w:type="dxa"/>
          <w:left w:w="10" w:type="dxa"/>
          <w:bottom w:w="0" w:type="dxa"/>
          <w:right w:w="10" w:type="dxa"/>
        </w:tblCellMar>
      </w:tblPr>
      <w:tblGrid>
        <w:gridCol w:w="9540"/>
      </w:tblGrid>
      <w:tr>
        <w:tblPrEx>
          <w:tblLayout w:type="fixed"/>
          <w:tblCellMar>
            <w:top w:w="0" w:type="dxa"/>
            <w:left w:w="10" w:type="dxa"/>
            <w:bottom w:w="0" w:type="dxa"/>
            <w:right w:w="10" w:type="dxa"/>
          </w:tblCellMar>
        </w:tblPrEx>
        <w:trPr>
          <w:trHeight w:val="2530" w:hRule="atLeast"/>
        </w:trPr>
        <w:tc>
          <w:tcPr>
            <w:tcW w:w="954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ascii="仿宋_GB2312" w:hAnsi="仿宋_GB2312" w:eastAsia="仿宋_GB2312"/>
                <w:sz w:val="28"/>
                <w:szCs w:val="28"/>
              </w:rPr>
            </w:pPr>
            <w:r>
              <w:rPr>
                <w:rFonts w:hint="eastAsia" w:ascii="仿宋_GB2312" w:hAnsi="仿宋_GB2312" w:eastAsia="仿宋_GB2312"/>
                <w:sz w:val="28"/>
                <w:szCs w:val="28"/>
              </w:rPr>
              <w:t>1.为本科生、研究生讲授课程、学术报告等情况</w:t>
            </w:r>
          </w:p>
          <w:p>
            <w:pPr>
              <w:jc w:val="left"/>
              <w:rPr>
                <w:rFonts w:ascii="仿宋_GB2312" w:hAnsi="仿宋_GB2312" w:eastAsia="仿宋_GB2312"/>
                <w:i/>
                <w:color w:val="404040"/>
                <w:sz w:val="24"/>
                <w:shd w:val="clear" w:color="auto" w:fill="C0C0C0"/>
              </w:rPr>
            </w:pPr>
            <w:r>
              <w:rPr>
                <w:rFonts w:hint="eastAsia" w:ascii="仿宋_GB2312" w:hAnsi="仿宋_GB2312" w:eastAsia="仿宋_GB2312"/>
                <w:i/>
                <w:color w:val="404040"/>
                <w:sz w:val="24"/>
                <w:shd w:val="clear" w:color="auto" w:fill="C0C0C0"/>
              </w:rPr>
              <w:t>请按照授课门类；授课时数；授课对象（本科生、研究生）顺序填写</w:t>
            </w:r>
          </w:p>
          <w:p>
            <w:pPr>
              <w:jc w:val="left"/>
              <w:rPr>
                <w:rFonts w:ascii="仿宋_GB2312" w:hAnsi="仿宋_GB2312" w:eastAsia="仿宋_GB2312"/>
                <w:sz w:val="22"/>
                <w:szCs w:val="22"/>
              </w:rPr>
            </w:pPr>
            <w:r>
              <w:rPr>
                <w:rFonts w:hint="eastAsia" w:ascii="仿宋_GB2312" w:hAnsi="仿宋_GB2312" w:eastAsia="仿宋_GB2312"/>
                <w:sz w:val="22"/>
                <w:szCs w:val="22"/>
              </w:rPr>
              <w:t>本科生：</w:t>
            </w:r>
          </w:p>
          <w:p>
            <w:pPr>
              <w:jc w:val="left"/>
              <w:rPr>
                <w:sz w:val="22"/>
                <w:szCs w:val="22"/>
              </w:rPr>
            </w:pPr>
            <w:r>
              <w:rPr>
                <w:rFonts w:hint="eastAsia" w:ascii="仿宋_GB2312" w:hAnsi="仿宋_GB2312" w:eastAsia="仿宋_GB2312"/>
                <w:sz w:val="22"/>
                <w:szCs w:val="22"/>
              </w:rPr>
              <w:t xml:space="preserve">    2016年：蔬菜种子学，班级</w:t>
            </w:r>
            <w:r>
              <w:rPr>
                <w:sz w:val="22"/>
                <w:szCs w:val="22"/>
              </w:rPr>
              <w:t>141,142,143,144,145，人数32人，课时6学时；科技市场调查实习，园艺143,0.5周，30人；</w:t>
            </w:r>
          </w:p>
          <w:p>
            <w:pPr>
              <w:jc w:val="left"/>
              <w:rPr>
                <w:sz w:val="22"/>
                <w:szCs w:val="22"/>
              </w:rPr>
            </w:pPr>
            <w:r>
              <w:rPr>
                <w:sz w:val="22"/>
                <w:szCs w:val="22"/>
              </w:rPr>
              <w:t xml:space="preserve">    2017年：</w:t>
            </w:r>
            <w:r>
              <w:rPr>
                <w:rFonts w:hint="eastAsia" w:ascii="宋体" w:hAnsi="宋体" w:cs="宋体"/>
                <w:szCs w:val="21"/>
              </w:rPr>
              <w:t>&lt;&lt;园艺植物育种学总论&gt;&gt;实验，园艺145,24人，16课时；蔬菜种子学，园艺1503,32人，16学时；园艺植物育种实习，园艺144、145，50人，3天；</w:t>
            </w:r>
            <w:r>
              <w:rPr>
                <w:sz w:val="22"/>
                <w:szCs w:val="22"/>
              </w:rPr>
              <w:t>科技市场调查实习，园艺1503,32人，0.5周；</w:t>
            </w:r>
          </w:p>
          <w:p>
            <w:pPr>
              <w:jc w:val="left"/>
              <w:rPr>
                <w:sz w:val="22"/>
                <w:szCs w:val="22"/>
              </w:rPr>
            </w:pPr>
            <w:r>
              <w:rPr>
                <w:sz w:val="22"/>
                <w:szCs w:val="22"/>
              </w:rPr>
              <w:t xml:space="preserve">    2018年：</w:t>
            </w:r>
            <w:r>
              <w:rPr>
                <w:rFonts w:hint="eastAsia" w:ascii="宋体" w:hAnsi="宋体" w:cs="宋体"/>
                <w:szCs w:val="21"/>
              </w:rPr>
              <w:t>&lt;&lt;园艺植物育种学总论&gt;&gt;实验，园艺1504、1505,43人，16课时；</w:t>
            </w:r>
            <w:r>
              <w:rPr>
                <w:sz w:val="22"/>
                <w:szCs w:val="22"/>
              </w:rPr>
              <w:t>科技市场调查实习，园艺1603,32人，0.5周；</w:t>
            </w:r>
          </w:p>
          <w:p>
            <w:pPr>
              <w:jc w:val="left"/>
              <w:rPr>
                <w:sz w:val="22"/>
                <w:szCs w:val="22"/>
              </w:rPr>
            </w:pPr>
            <w:r>
              <w:rPr>
                <w:sz w:val="22"/>
                <w:szCs w:val="22"/>
              </w:rPr>
              <w:t>研究生：</w:t>
            </w:r>
          </w:p>
          <w:p>
            <w:pPr>
              <w:jc w:val="left"/>
              <w:rPr>
                <w:sz w:val="24"/>
              </w:rPr>
            </w:pPr>
            <w:r>
              <w:rPr>
                <w:sz w:val="22"/>
              </w:rPr>
              <w:t xml:space="preserve">    2017年：高级蔬菜育种学，2017级蔬菜学硕，41人，4学时；</w:t>
            </w:r>
            <w:r>
              <w:rPr>
                <w:sz w:val="24"/>
              </w:rPr>
              <w:t>园艺植物育种与良种繁育学</w:t>
            </w:r>
            <w:r>
              <w:rPr>
                <w:sz w:val="22"/>
              </w:rPr>
              <w:t>2017级专硕，37人，4学时；</w:t>
            </w:r>
            <w:r>
              <w:rPr>
                <w:sz w:val="24"/>
              </w:rPr>
              <w:t>现代蔬菜科学进展（英文授课），9034002E，4人，4学时</w:t>
            </w:r>
          </w:p>
          <w:p>
            <w:pPr>
              <w:jc w:val="left"/>
              <w:rPr>
                <w:rFonts w:ascii="仿宋_GB2312" w:hAnsi="仿宋_GB2312" w:eastAsia="仿宋_GB2312"/>
                <w:sz w:val="28"/>
                <w:szCs w:val="28"/>
              </w:rPr>
            </w:pPr>
            <w:r>
              <w:rPr>
                <w:rFonts w:hint="eastAsia" w:ascii="仿宋_GB2312" w:hAnsi="仿宋_GB2312" w:eastAsia="仿宋_GB2312"/>
                <w:sz w:val="28"/>
                <w:szCs w:val="28"/>
              </w:rPr>
              <w:t>2.获批</w:t>
            </w:r>
            <w:r>
              <w:rPr>
                <w:rFonts w:ascii="仿宋_GB2312" w:hAnsi="仿宋_GB2312" w:eastAsia="仿宋_GB2312"/>
                <w:sz w:val="28"/>
                <w:szCs w:val="28"/>
              </w:rPr>
              <w:t>教改项目、发表教改论文情况</w:t>
            </w:r>
          </w:p>
          <w:p>
            <w:pPr>
              <w:jc w:val="left"/>
              <w:rPr>
                <w:rFonts w:ascii="仿宋_GB2312" w:hAnsi="仿宋_GB2312" w:eastAsia="仿宋_GB2312"/>
                <w:sz w:val="28"/>
                <w:szCs w:val="28"/>
              </w:rPr>
            </w:pPr>
            <w:r>
              <w:rPr>
                <w:rFonts w:hint="eastAsia" w:ascii="Calibri" w:hAnsi="Calibri" w:eastAsia="Calibri"/>
                <w:szCs w:val="21"/>
              </w:rPr>
              <w:t>无</w:t>
            </w:r>
          </w:p>
        </w:tc>
      </w:tr>
    </w:tbl>
    <w:p>
      <w:pPr>
        <w:rPr>
          <w:rFonts w:ascii="仿宋_GB2312" w:hAnsi="仿宋_GB2312" w:eastAsia="仿宋_GB2312"/>
          <w:sz w:val="28"/>
          <w:szCs w:val="28"/>
        </w:rPr>
      </w:pPr>
      <w:r>
        <w:rPr>
          <w:rFonts w:hint="eastAsia" w:ascii="仿宋_GB2312" w:hAnsi="仿宋_GB2312" w:eastAsia="仿宋_GB2312"/>
          <w:sz w:val="28"/>
          <w:szCs w:val="28"/>
        </w:rPr>
        <w:t>九、人才培养</w:t>
      </w:r>
      <w:r>
        <w:rPr>
          <w:rFonts w:ascii="仿宋_GB2312" w:hAnsi="仿宋_GB2312" w:eastAsia="仿宋_GB2312"/>
          <w:sz w:val="28"/>
          <w:szCs w:val="28"/>
        </w:rPr>
        <w:t>情况</w:t>
      </w:r>
    </w:p>
    <w:tbl>
      <w:tblPr>
        <w:tblStyle w:val="7"/>
        <w:tblW w:w="9540" w:type="dxa"/>
        <w:tblInd w:w="-540" w:type="dxa"/>
        <w:tblLayout w:type="fixed"/>
        <w:tblCellMar>
          <w:top w:w="0" w:type="dxa"/>
          <w:left w:w="10" w:type="dxa"/>
          <w:bottom w:w="0" w:type="dxa"/>
          <w:right w:w="10" w:type="dxa"/>
        </w:tblCellMar>
      </w:tblPr>
      <w:tblGrid>
        <w:gridCol w:w="9540"/>
      </w:tblGrid>
      <w:tr>
        <w:tblPrEx>
          <w:tblLayout w:type="fixed"/>
          <w:tblCellMar>
            <w:top w:w="0" w:type="dxa"/>
            <w:left w:w="10" w:type="dxa"/>
            <w:bottom w:w="0" w:type="dxa"/>
            <w:right w:w="10" w:type="dxa"/>
          </w:tblCellMar>
        </w:tblPrEx>
        <w:trPr>
          <w:trHeight w:val="780" w:hRule="atLeast"/>
        </w:trPr>
        <w:tc>
          <w:tcPr>
            <w:tcW w:w="954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rFonts w:ascii="仿宋_GB2312" w:hAnsi="仿宋_GB2312" w:eastAsia="仿宋_GB2312"/>
                <w:sz w:val="28"/>
                <w:szCs w:val="28"/>
              </w:rPr>
            </w:pPr>
            <w:r>
              <w:rPr>
                <w:rFonts w:hint="eastAsia" w:ascii="仿宋_GB2312" w:hAnsi="仿宋_GB2312" w:eastAsia="仿宋_GB2312"/>
                <w:sz w:val="28"/>
                <w:szCs w:val="28"/>
              </w:rPr>
              <w:t>招收</w:t>
            </w:r>
            <w:r>
              <w:rPr>
                <w:rFonts w:ascii="仿宋_GB2312" w:hAnsi="仿宋_GB2312" w:eastAsia="仿宋_GB2312"/>
                <w:sz w:val="28"/>
                <w:szCs w:val="28"/>
              </w:rPr>
              <w:t>指导研究生数量及学生发表论文、获奖情况</w:t>
            </w:r>
          </w:p>
          <w:p>
            <w:pPr>
              <w:rPr>
                <w:rFonts w:hint="eastAsia" w:ascii="仿宋_GB2312" w:hAnsi="仿宋_GB2312"/>
                <w:szCs w:val="21"/>
              </w:rPr>
            </w:pPr>
            <w:r>
              <w:rPr>
                <w:rFonts w:hint="eastAsia" w:ascii="仿宋_GB2312" w:hAnsi="仿宋_GB2312"/>
                <w:szCs w:val="21"/>
              </w:rPr>
              <w:t>招收</w:t>
            </w:r>
            <w:r>
              <w:rPr>
                <w:rFonts w:ascii="仿宋_GB2312" w:hAnsi="仿宋_GB2312"/>
                <w:szCs w:val="21"/>
              </w:rPr>
              <w:t>研究生</w:t>
            </w:r>
            <w:r>
              <w:rPr>
                <w:rFonts w:hint="eastAsia" w:ascii="仿宋_GB2312" w:hAnsi="仿宋_GB2312"/>
                <w:szCs w:val="21"/>
              </w:rPr>
              <w:t>7人；</w:t>
            </w:r>
          </w:p>
          <w:p>
            <w:pPr>
              <w:rPr>
                <w:rFonts w:hint="eastAsia" w:ascii="仿宋_GB2312" w:hAnsi="仿宋_GB2312"/>
                <w:szCs w:val="21"/>
              </w:rPr>
            </w:pPr>
            <w:r>
              <w:rPr>
                <w:rFonts w:ascii="仿宋_GB2312" w:hAnsi="仿宋_GB2312"/>
                <w:szCs w:val="21"/>
              </w:rPr>
              <w:t>陈小康</w:t>
            </w:r>
            <w:r>
              <w:rPr>
                <w:rFonts w:hint="eastAsia" w:ascii="仿宋_GB2312" w:hAnsi="仿宋_GB2312"/>
                <w:szCs w:val="21"/>
              </w:rPr>
              <w:t>获得2018年度优秀研究生；</w:t>
            </w:r>
          </w:p>
          <w:p>
            <w:pPr>
              <w:rPr>
                <w:rFonts w:ascii="仿宋_GB2312" w:hAnsi="仿宋_GB2312" w:eastAsia="仿宋_GB2312"/>
                <w:sz w:val="28"/>
                <w:szCs w:val="28"/>
              </w:rPr>
            </w:pPr>
            <w:r>
              <w:rPr>
                <w:rFonts w:hint="eastAsia" w:ascii="仿宋_GB2312" w:hAnsi="仿宋_GB2312"/>
                <w:szCs w:val="21"/>
              </w:rPr>
              <w:t>郭亚路</w:t>
            </w:r>
            <w:r>
              <w:rPr>
                <w:rFonts w:ascii="仿宋_GB2312" w:hAnsi="仿宋_GB2312"/>
                <w:szCs w:val="21"/>
              </w:rPr>
              <w:t>，陈小康，张晓将获</w:t>
            </w:r>
            <w:r>
              <w:rPr>
                <w:rFonts w:hint="eastAsia" w:ascii="仿宋_GB2312" w:hAnsi="仿宋_GB2312"/>
                <w:szCs w:val="21"/>
              </w:rPr>
              <w:t>西北农林科技大学二等学业奖学金。</w:t>
            </w:r>
          </w:p>
        </w:tc>
      </w:tr>
    </w:tbl>
    <w:p>
      <w:pPr>
        <w:rPr>
          <w:rFonts w:ascii="仿宋_GB2312" w:hAnsi="仿宋_GB2312" w:eastAsia="仿宋_GB2312"/>
          <w:sz w:val="28"/>
          <w:szCs w:val="28"/>
        </w:rPr>
      </w:pPr>
    </w:p>
    <w:p>
      <w:pPr>
        <w:rPr>
          <w:rFonts w:ascii="仿宋_GB2312" w:hAnsi="仿宋_GB2312" w:eastAsia="仿宋_GB2312"/>
          <w:sz w:val="28"/>
          <w:szCs w:val="28"/>
        </w:rPr>
      </w:pPr>
      <w:r>
        <w:rPr>
          <w:rFonts w:hint="eastAsia" w:ascii="仿宋_GB2312" w:hAnsi="仿宋_GB2312" w:eastAsia="仿宋_GB2312"/>
          <w:sz w:val="28"/>
          <w:szCs w:val="28"/>
        </w:rPr>
        <w:t>十、国内外学术交流情况</w:t>
      </w:r>
    </w:p>
    <w:tbl>
      <w:tblPr>
        <w:tblStyle w:val="7"/>
        <w:tblW w:w="9540" w:type="dxa"/>
        <w:tblInd w:w="-540" w:type="dxa"/>
        <w:tblLayout w:type="fixed"/>
        <w:tblCellMar>
          <w:top w:w="0" w:type="dxa"/>
          <w:left w:w="10" w:type="dxa"/>
          <w:bottom w:w="0" w:type="dxa"/>
          <w:right w:w="10" w:type="dxa"/>
        </w:tblCellMar>
      </w:tblPr>
      <w:tblGrid>
        <w:gridCol w:w="9540"/>
      </w:tblGrid>
      <w:tr>
        <w:tblPrEx>
          <w:tblLayout w:type="fixed"/>
          <w:tblCellMar>
            <w:top w:w="0" w:type="dxa"/>
            <w:left w:w="10" w:type="dxa"/>
            <w:bottom w:w="0" w:type="dxa"/>
            <w:right w:w="10" w:type="dxa"/>
          </w:tblCellMar>
        </w:tblPrEx>
        <w:trPr>
          <w:trHeight w:val="780" w:hRule="atLeast"/>
        </w:trPr>
        <w:tc>
          <w:tcPr>
            <w:tcW w:w="954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ind w:left="420" w:hanging="420"/>
              <w:rPr>
                <w:rFonts w:ascii="Calibri" w:hAnsi="Calibri" w:eastAsia="Calibri"/>
                <w:szCs w:val="21"/>
              </w:rPr>
            </w:pPr>
            <w:r>
              <w:rPr>
                <w:rFonts w:ascii="Calibri" w:hAnsi="Calibri" w:eastAsia="Calibri"/>
                <w:szCs w:val="21"/>
              </w:rPr>
              <w:t>1）2016年8月5日-9日，江苏省南京市，国内学术会议，中国植物病理学会主办，中国植物病理学会2016年学术年会，无</w:t>
            </w:r>
            <w:r>
              <w:rPr>
                <w:rFonts w:hint="eastAsia" w:ascii="Calibri" w:hAnsi="Calibri" w:eastAsia="Calibri" w:cs="微软雅黑"/>
                <w:szCs w:val="21"/>
              </w:rPr>
              <w:t>报</w:t>
            </w:r>
            <w:r>
              <w:rPr>
                <w:rFonts w:hint="eastAsia" w:ascii="Calibri" w:hAnsi="Calibri" w:eastAsia="Calibri" w:cs="MS Mincho"/>
                <w:szCs w:val="21"/>
              </w:rPr>
              <w:t>告</w:t>
            </w:r>
          </w:p>
          <w:p>
            <w:pPr>
              <w:ind w:left="420" w:hanging="420"/>
              <w:rPr>
                <w:rFonts w:ascii="Calibri" w:hAnsi="Calibri" w:eastAsia="Calibri"/>
                <w:szCs w:val="21"/>
              </w:rPr>
            </w:pPr>
            <w:r>
              <w:rPr>
                <w:rFonts w:ascii="Calibri" w:hAnsi="Calibri" w:eastAsia="Calibri"/>
                <w:szCs w:val="21"/>
              </w:rPr>
              <w:t>2）2016年10月7日-9日，辽宁省沈阳市，国内学术研讨会，沈阳农业大学园艺学院，第三届中国园艺学会青年学者学术研讨会，作</w:t>
            </w:r>
            <w:r>
              <w:rPr>
                <w:rFonts w:hint="eastAsia" w:ascii="Calibri" w:hAnsi="Calibri" w:eastAsia="Calibri" w:cs="微软雅黑"/>
                <w:szCs w:val="21"/>
              </w:rPr>
              <w:t>报</w:t>
            </w:r>
            <w:r>
              <w:rPr>
                <w:rFonts w:hint="eastAsia" w:ascii="Calibri" w:hAnsi="Calibri" w:eastAsia="Calibri" w:cs="MS Mincho"/>
                <w:szCs w:val="21"/>
              </w:rPr>
              <w:t>告，</w:t>
            </w:r>
            <w:r>
              <w:rPr>
                <w:rFonts w:hint="eastAsia" w:ascii="Calibri" w:hAnsi="Calibri" w:eastAsia="Calibri" w:cs="微软雅黑"/>
                <w:szCs w:val="21"/>
              </w:rPr>
              <w:t>题</w:t>
            </w:r>
            <w:r>
              <w:rPr>
                <w:rFonts w:hint="eastAsia" w:ascii="Calibri" w:hAnsi="Calibri" w:eastAsia="Calibri" w:cs="MS Mincho"/>
                <w:szCs w:val="21"/>
              </w:rPr>
              <w:t>目：</w:t>
            </w:r>
            <w:r>
              <w:rPr>
                <w:rFonts w:ascii="Calibri" w:hAnsi="Calibri" w:eastAsia="Calibri"/>
                <w:szCs w:val="21"/>
              </w:rPr>
              <w:t>Identification of Solanaceous exocyst subunits and their role in plant defense</w:t>
            </w:r>
          </w:p>
          <w:p>
            <w:pPr>
              <w:ind w:left="420" w:hanging="420"/>
              <w:rPr>
                <w:rFonts w:ascii="Calibri" w:hAnsi="Calibri" w:eastAsia="Calibri"/>
                <w:szCs w:val="21"/>
              </w:rPr>
            </w:pPr>
            <w:r>
              <w:rPr>
                <w:rFonts w:ascii="Calibri" w:hAnsi="Calibri" w:eastAsia="Calibri"/>
                <w:szCs w:val="21"/>
              </w:rPr>
              <w:t>3）2017年6月17-20日，贵州毕节，国内学术交流，中国作物学会马铃薯专业委员会，中国马铃薯大会，无</w:t>
            </w:r>
            <w:r>
              <w:rPr>
                <w:rFonts w:hint="eastAsia" w:ascii="Calibri" w:hAnsi="Calibri" w:eastAsia="Calibri" w:cs="微软雅黑"/>
                <w:szCs w:val="21"/>
              </w:rPr>
              <w:t>报</w:t>
            </w:r>
            <w:r>
              <w:rPr>
                <w:rFonts w:hint="eastAsia" w:ascii="Calibri" w:hAnsi="Calibri" w:eastAsia="Calibri" w:cs="MS Mincho"/>
                <w:szCs w:val="21"/>
              </w:rPr>
              <w:t>告</w:t>
            </w:r>
          </w:p>
          <w:p>
            <w:pPr>
              <w:ind w:left="420" w:hanging="420"/>
              <w:rPr>
                <w:rFonts w:ascii="Calibri" w:hAnsi="Calibri" w:eastAsia="Calibri"/>
                <w:szCs w:val="21"/>
              </w:rPr>
            </w:pPr>
            <w:r>
              <w:rPr>
                <w:rFonts w:ascii="Calibri" w:hAnsi="Calibri" w:eastAsia="Calibri"/>
                <w:szCs w:val="21"/>
              </w:rPr>
              <w:t>4）2017年7月19-21日，陕西延安，</w:t>
            </w:r>
            <w:r>
              <w:rPr>
                <w:rFonts w:hint="eastAsia" w:ascii="Calibri" w:hAnsi="Calibri" w:eastAsia="Calibri" w:cs="微软雅黑"/>
                <w:szCs w:val="21"/>
              </w:rPr>
              <w:t>陕</w:t>
            </w:r>
            <w:r>
              <w:rPr>
                <w:rFonts w:hint="eastAsia" w:ascii="Calibri" w:hAnsi="Calibri" w:eastAsia="Calibri" w:cs="MS Mincho"/>
                <w:szCs w:val="21"/>
              </w:rPr>
              <w:t>西省</w:t>
            </w:r>
            <w:r>
              <w:rPr>
                <w:rFonts w:hint="eastAsia" w:ascii="Calibri" w:hAnsi="Calibri" w:eastAsia="Calibri" w:cs="微软雅黑"/>
                <w:szCs w:val="21"/>
              </w:rPr>
              <w:t>马铃</w:t>
            </w:r>
            <w:r>
              <w:rPr>
                <w:rFonts w:hint="eastAsia" w:ascii="Calibri" w:hAnsi="Calibri" w:eastAsia="Calibri" w:cs="MS Mincho"/>
                <w:szCs w:val="21"/>
              </w:rPr>
              <w:t>薯体系会</w:t>
            </w:r>
            <w:r>
              <w:rPr>
                <w:rFonts w:ascii="Calibri" w:hAnsi="Calibri" w:eastAsia="Calibri"/>
                <w:szCs w:val="21"/>
              </w:rPr>
              <w:t>议，榆林市农业科学研究院，马铃薯栽培技术培训暨现场观摩会议，无</w:t>
            </w:r>
            <w:r>
              <w:rPr>
                <w:rFonts w:hint="eastAsia" w:ascii="Calibri" w:hAnsi="Calibri" w:eastAsia="Calibri" w:cs="微软雅黑"/>
                <w:szCs w:val="21"/>
              </w:rPr>
              <w:t>报</w:t>
            </w:r>
            <w:r>
              <w:rPr>
                <w:rFonts w:hint="eastAsia" w:ascii="Calibri" w:hAnsi="Calibri" w:eastAsia="Calibri" w:cs="MS Mincho"/>
                <w:szCs w:val="21"/>
              </w:rPr>
              <w:t>告</w:t>
            </w:r>
          </w:p>
          <w:p>
            <w:pPr>
              <w:ind w:left="420" w:hanging="420"/>
              <w:rPr>
                <w:rFonts w:ascii="Calibri" w:hAnsi="Calibri" w:eastAsia="Calibri"/>
                <w:szCs w:val="21"/>
              </w:rPr>
            </w:pPr>
            <w:r>
              <w:rPr>
                <w:rFonts w:ascii="Calibri" w:hAnsi="Calibri" w:eastAsia="Calibri"/>
                <w:szCs w:val="21"/>
              </w:rPr>
              <w:t>5）2017年8月17-21日，福建厦门，国际会议，学术交流，中国植物病理学会，第五届植物-生物互作国际会议，无</w:t>
            </w:r>
            <w:r>
              <w:rPr>
                <w:rFonts w:hint="eastAsia" w:ascii="Calibri" w:hAnsi="Calibri" w:eastAsia="Calibri" w:cs="微软雅黑"/>
                <w:szCs w:val="21"/>
              </w:rPr>
              <w:t>报</w:t>
            </w:r>
            <w:r>
              <w:rPr>
                <w:rFonts w:hint="eastAsia" w:ascii="Calibri" w:hAnsi="Calibri" w:eastAsia="Calibri" w:cs="MS Mincho"/>
                <w:szCs w:val="21"/>
              </w:rPr>
              <w:t>告</w:t>
            </w:r>
          </w:p>
          <w:p>
            <w:pPr>
              <w:ind w:left="420" w:hanging="420"/>
              <w:rPr>
                <w:rFonts w:ascii="Calibri" w:hAnsi="Calibri" w:eastAsia="Calibri"/>
                <w:szCs w:val="21"/>
              </w:rPr>
            </w:pPr>
            <w:r>
              <w:rPr>
                <w:rFonts w:ascii="Calibri" w:hAnsi="Calibri" w:eastAsia="Calibri"/>
                <w:szCs w:val="21"/>
              </w:rPr>
              <w:t>6）2017年10月10-11日，陕西杨凌，</w:t>
            </w:r>
            <w:r>
              <w:rPr>
                <w:rFonts w:ascii="Calibri" w:hAnsi="Calibri" w:eastAsia="Calibri"/>
                <w:szCs w:val="21"/>
              </w:rPr>
              <w:tab/>
            </w:r>
            <w:r>
              <w:rPr>
                <w:rFonts w:ascii="Calibri" w:hAnsi="Calibri" w:eastAsia="Calibri"/>
                <w:szCs w:val="21"/>
              </w:rPr>
              <w:t>国际学术研讨会，西北农林科技大学农学院，作物抗病育种与遗传改良创新，无</w:t>
            </w:r>
            <w:r>
              <w:rPr>
                <w:rFonts w:hint="eastAsia" w:ascii="Calibri" w:hAnsi="Calibri" w:eastAsia="Calibri" w:cs="微软雅黑"/>
                <w:szCs w:val="21"/>
              </w:rPr>
              <w:t>报</w:t>
            </w:r>
            <w:r>
              <w:rPr>
                <w:rFonts w:hint="eastAsia" w:ascii="Calibri" w:hAnsi="Calibri" w:eastAsia="Calibri" w:cs="MS Mincho"/>
                <w:szCs w:val="21"/>
              </w:rPr>
              <w:t>告</w:t>
            </w:r>
          </w:p>
          <w:p>
            <w:pPr>
              <w:ind w:left="420" w:hanging="420"/>
              <w:rPr>
                <w:rFonts w:ascii="Calibri" w:hAnsi="Calibri" w:eastAsia="Calibri"/>
                <w:szCs w:val="21"/>
              </w:rPr>
            </w:pPr>
            <w:r>
              <w:rPr>
                <w:rFonts w:ascii="Calibri" w:hAnsi="Calibri" w:eastAsia="Calibri"/>
                <w:szCs w:val="21"/>
              </w:rPr>
              <w:t>7）2018年3月22日，陕西西安，</w:t>
            </w:r>
            <w:r>
              <w:rPr>
                <w:rFonts w:hint="eastAsia" w:ascii="Calibri" w:hAnsi="Calibri" w:eastAsia="Calibri" w:cs="微软雅黑"/>
                <w:szCs w:val="21"/>
              </w:rPr>
              <w:t>陕</w:t>
            </w:r>
            <w:r>
              <w:rPr>
                <w:rFonts w:hint="eastAsia" w:ascii="Calibri" w:hAnsi="Calibri" w:eastAsia="Calibri" w:cs="MS Mincho"/>
                <w:szCs w:val="21"/>
              </w:rPr>
              <w:t>西省</w:t>
            </w:r>
            <w:r>
              <w:rPr>
                <w:rFonts w:ascii="Calibri" w:hAnsi="Calibri" w:eastAsia="Calibri"/>
                <w:szCs w:val="21"/>
              </w:rPr>
              <w:t>马铃薯体系会议，榆林市农业科学研究院，陕西省马铃薯产业技术体系2017年度工作总结，作报告，题目：病害防控岗位2017年度工作总结</w:t>
            </w:r>
          </w:p>
          <w:p>
            <w:pPr>
              <w:ind w:left="420" w:hanging="420"/>
              <w:rPr>
                <w:rFonts w:ascii="Calibri" w:hAnsi="Calibri" w:eastAsia="Calibri"/>
                <w:szCs w:val="21"/>
              </w:rPr>
            </w:pPr>
            <w:r>
              <w:rPr>
                <w:rFonts w:ascii="Calibri" w:hAnsi="Calibri" w:eastAsia="Calibri"/>
                <w:szCs w:val="21"/>
              </w:rPr>
              <w:t>8）2018年4月8-12日，山东泰安，国际会议学术会议，The Oomycete Molecular Genetics Network，国际卵菌分子遗传学年会，无</w:t>
            </w:r>
            <w:r>
              <w:rPr>
                <w:rFonts w:hint="eastAsia" w:ascii="Calibri" w:hAnsi="Calibri" w:eastAsia="Calibri" w:cs="微软雅黑"/>
                <w:szCs w:val="21"/>
              </w:rPr>
              <w:t>报</w:t>
            </w:r>
            <w:r>
              <w:rPr>
                <w:rFonts w:hint="eastAsia" w:ascii="Calibri" w:hAnsi="Calibri" w:eastAsia="Calibri" w:cs="MS Mincho"/>
                <w:szCs w:val="21"/>
              </w:rPr>
              <w:t>告</w:t>
            </w:r>
            <w:r>
              <w:rPr>
                <w:rFonts w:ascii="Calibri" w:hAnsi="Calibri" w:eastAsia="Calibri"/>
                <w:szCs w:val="21"/>
              </w:rPr>
              <w:tab/>
            </w:r>
          </w:p>
          <w:p>
            <w:pPr>
              <w:ind w:left="420" w:hanging="420"/>
              <w:rPr>
                <w:rFonts w:ascii="Calibri" w:hAnsi="Calibri" w:eastAsia="Calibri"/>
                <w:szCs w:val="21"/>
              </w:rPr>
            </w:pPr>
            <w:r>
              <w:rPr>
                <w:rFonts w:ascii="Calibri" w:hAnsi="Calibri" w:eastAsia="Calibri"/>
                <w:szCs w:val="21"/>
              </w:rPr>
              <w:t>9）2018年7月7-9日，陕西杨凌，国内学术会议，中国园艺学会青年学者联合会，第五届中国园艺学会青年学者学术研讨会，作报告，题目：马铃薯晚疫病菌效应蛋白E49的毒性机理研究</w:t>
            </w:r>
          </w:p>
          <w:p>
            <w:pPr>
              <w:rPr>
                <w:rFonts w:ascii="仿宋_GB2312" w:hAnsi="仿宋_GB2312" w:eastAsia="仿宋_GB2312"/>
                <w:sz w:val="28"/>
                <w:szCs w:val="28"/>
              </w:rPr>
            </w:pPr>
            <w:r>
              <w:rPr>
                <w:rFonts w:ascii="Calibri" w:hAnsi="Calibri" w:eastAsia="Calibri"/>
                <w:szCs w:val="21"/>
              </w:rPr>
              <w:t>10）2018年8月29-30日，陕西杨凌，国际学术论坛，西北农林科技大学，2018年西北农林科技大学作物抗病论坛，作报告，题目：</w:t>
            </w:r>
            <w:r>
              <w:rPr>
                <w:rFonts w:ascii="Calibri" w:hAnsi="Calibri" w:eastAsia="Calibri"/>
                <w:szCs w:val="21"/>
              </w:rPr>
              <w:tab/>
            </w:r>
            <w:r>
              <w:rPr>
                <w:rFonts w:ascii="Calibri" w:hAnsi="Calibri" w:eastAsia="Calibri"/>
                <w:szCs w:val="21"/>
              </w:rPr>
              <w:t>The virulence mechanism of Phytophthora infestans RXLR effector E49</w:t>
            </w:r>
          </w:p>
        </w:tc>
      </w:tr>
    </w:tbl>
    <w:p>
      <w:pPr>
        <w:rPr>
          <w:rFonts w:ascii="仿宋_GB2312" w:hAnsi="仿宋_GB2312" w:eastAsia="仿宋_GB2312"/>
          <w:sz w:val="28"/>
          <w:szCs w:val="28"/>
        </w:rPr>
      </w:pPr>
      <w:r>
        <w:rPr>
          <w:rFonts w:hint="eastAsia" w:ascii="仿宋_GB2312" w:hAnsi="仿宋_GB2312" w:eastAsia="仿宋_GB2312"/>
          <w:sz w:val="28"/>
          <w:szCs w:val="28"/>
        </w:rPr>
        <w:t>十一、参加学院</w:t>
      </w:r>
      <w:r>
        <w:rPr>
          <w:rFonts w:ascii="仿宋_GB2312" w:hAnsi="仿宋_GB2312" w:eastAsia="仿宋_GB2312"/>
          <w:sz w:val="28"/>
          <w:szCs w:val="28"/>
        </w:rPr>
        <w:t>公益活动、完成学院安排任务情况</w:t>
      </w:r>
    </w:p>
    <w:tbl>
      <w:tblPr>
        <w:tblStyle w:val="7"/>
        <w:tblW w:w="9540" w:type="dxa"/>
        <w:tblInd w:w="-540" w:type="dxa"/>
        <w:tblLayout w:type="fixed"/>
        <w:tblCellMar>
          <w:top w:w="0" w:type="dxa"/>
          <w:left w:w="10" w:type="dxa"/>
          <w:bottom w:w="0" w:type="dxa"/>
          <w:right w:w="10" w:type="dxa"/>
        </w:tblCellMar>
      </w:tblPr>
      <w:tblGrid>
        <w:gridCol w:w="9540"/>
      </w:tblGrid>
      <w:tr>
        <w:tblPrEx>
          <w:tblLayout w:type="fixed"/>
          <w:tblCellMar>
            <w:top w:w="0" w:type="dxa"/>
            <w:left w:w="10" w:type="dxa"/>
            <w:bottom w:w="0" w:type="dxa"/>
            <w:right w:w="10" w:type="dxa"/>
          </w:tblCellMar>
        </w:tblPrEx>
        <w:trPr>
          <w:trHeight w:val="780" w:hRule="atLeast"/>
        </w:trPr>
        <w:tc>
          <w:tcPr>
            <w:tcW w:w="954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ind w:firstLine="420"/>
              <w:rPr>
                <w:rFonts w:ascii="Calibri" w:hAnsi="Calibri" w:eastAsia="Calibri"/>
                <w:szCs w:val="21"/>
              </w:rPr>
            </w:pPr>
            <w:r>
              <w:rPr>
                <w:rFonts w:ascii="Calibri" w:hAnsi="Calibri" w:eastAsia="Calibri"/>
                <w:szCs w:val="21"/>
              </w:rPr>
              <w:t>参加2016、2017、2018年研究生复试工作；参加研究生暑期夏令营活动并做报告；参加本院研究生招生宣传；参加研究生迎新大会并做演讲；为本科生做有关留学报告；参加本科生迎新大会并做演讲；参加学院的青年教师实践锻炼；参加学院健步走活动</w:t>
            </w:r>
          </w:p>
        </w:tc>
      </w:tr>
    </w:tbl>
    <w:p>
      <w:pPr>
        <w:rPr>
          <w:rFonts w:ascii="仿宋_GB2312" w:hAnsi="仿宋_GB2312" w:eastAsia="仿宋_GB2312"/>
          <w:sz w:val="28"/>
          <w:szCs w:val="28"/>
        </w:rPr>
      </w:pPr>
      <w:r>
        <w:rPr>
          <w:rFonts w:hint="eastAsia" w:ascii="仿宋_GB2312" w:hAnsi="仿宋_GB2312" w:eastAsia="仿宋_GB2312"/>
          <w:sz w:val="28"/>
          <w:szCs w:val="28"/>
        </w:rPr>
        <w:t>十二、学校资助经费使用情况</w:t>
      </w:r>
    </w:p>
    <w:tbl>
      <w:tblPr>
        <w:tblStyle w:val="7"/>
        <w:tblW w:w="9540" w:type="dxa"/>
        <w:tblInd w:w="-540" w:type="dxa"/>
        <w:tblLayout w:type="fixed"/>
        <w:tblCellMar>
          <w:top w:w="0" w:type="dxa"/>
          <w:left w:w="10" w:type="dxa"/>
          <w:bottom w:w="0" w:type="dxa"/>
          <w:right w:w="10" w:type="dxa"/>
        </w:tblCellMar>
      </w:tblPr>
      <w:tblGrid>
        <w:gridCol w:w="9540"/>
      </w:tblGrid>
      <w:tr>
        <w:tblPrEx>
          <w:tblLayout w:type="fixed"/>
          <w:tblCellMar>
            <w:top w:w="0" w:type="dxa"/>
            <w:left w:w="10" w:type="dxa"/>
            <w:bottom w:w="0" w:type="dxa"/>
            <w:right w:w="10" w:type="dxa"/>
          </w:tblCellMar>
        </w:tblPrEx>
        <w:trPr>
          <w:trHeight w:val="780" w:hRule="atLeast"/>
        </w:trPr>
        <w:tc>
          <w:tcPr>
            <w:tcW w:w="954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ind w:firstLine="420"/>
              <w:rPr>
                <w:rFonts w:ascii="Calibri" w:hAnsi="Calibri" w:eastAsia="Calibri"/>
                <w:szCs w:val="21"/>
              </w:rPr>
            </w:pPr>
            <w:r>
              <w:rPr>
                <w:rFonts w:ascii="Calibri" w:hAnsi="Calibri" w:eastAsia="Calibri"/>
                <w:szCs w:val="21"/>
              </w:rPr>
              <w:t>项目截至去年支出14.6万元，2019年初购买仪器、实验室改装、试剂约20万元尚未报账。</w:t>
            </w:r>
          </w:p>
        </w:tc>
      </w:tr>
    </w:tbl>
    <w:p>
      <w:pPr>
        <w:rPr>
          <w:rFonts w:ascii="仿宋_GB2312" w:hAnsi="仿宋_GB2312" w:eastAsia="仿宋_GB2312"/>
          <w:sz w:val="28"/>
          <w:szCs w:val="28"/>
        </w:rPr>
      </w:pPr>
      <w:r>
        <w:rPr>
          <w:rFonts w:hint="eastAsia" w:ascii="仿宋_GB2312" w:hAnsi="仿宋_GB2312" w:eastAsia="仿宋_GB2312"/>
          <w:sz w:val="28"/>
          <w:szCs w:val="28"/>
        </w:rPr>
        <w:t>十三、存在的主要问题及需要说明的其它情况</w:t>
      </w:r>
    </w:p>
    <w:tbl>
      <w:tblPr>
        <w:tblStyle w:val="7"/>
        <w:tblW w:w="9540" w:type="dxa"/>
        <w:tblInd w:w="-540" w:type="dxa"/>
        <w:tblLayout w:type="fixed"/>
        <w:tblCellMar>
          <w:top w:w="0" w:type="dxa"/>
          <w:left w:w="10" w:type="dxa"/>
          <w:bottom w:w="0" w:type="dxa"/>
          <w:right w:w="10" w:type="dxa"/>
        </w:tblCellMar>
      </w:tblPr>
      <w:tblGrid>
        <w:gridCol w:w="9540"/>
      </w:tblGrid>
      <w:tr>
        <w:tblPrEx>
          <w:tblLayout w:type="fixed"/>
          <w:tblCellMar>
            <w:top w:w="0" w:type="dxa"/>
            <w:left w:w="10" w:type="dxa"/>
            <w:bottom w:w="0" w:type="dxa"/>
            <w:right w:w="10" w:type="dxa"/>
          </w:tblCellMar>
        </w:tblPrEx>
        <w:trPr>
          <w:trHeight w:val="930" w:hRule="atLeast"/>
        </w:trPr>
        <w:tc>
          <w:tcPr>
            <w:tcW w:w="954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rFonts w:ascii="仿宋_GB2312" w:hAnsi="仿宋_GB2312" w:eastAsia="Calibri"/>
                <w:szCs w:val="21"/>
              </w:rPr>
            </w:pPr>
            <w:r>
              <w:rPr>
                <w:rFonts w:hint="eastAsia" w:ascii="仿宋_GB2312" w:hAnsi="仿宋_GB2312" w:eastAsia="Calibri"/>
                <w:szCs w:val="21"/>
              </w:rPr>
              <w:t>无</w:t>
            </w:r>
          </w:p>
        </w:tc>
      </w:tr>
    </w:tbl>
    <w:p>
      <w:pPr>
        <w:rPr>
          <w:rFonts w:ascii="仿宋_GB2312" w:hAnsi="仿宋_GB2312" w:eastAsia="仿宋_GB2312"/>
          <w:sz w:val="28"/>
          <w:szCs w:val="28"/>
        </w:rPr>
      </w:pPr>
    </w:p>
    <w:p>
      <w:pPr>
        <w:rPr>
          <w:rFonts w:ascii="仿宋_GB2312" w:hAnsi="仿宋_GB2312" w:eastAsia="仿宋_GB2312"/>
          <w:sz w:val="28"/>
          <w:szCs w:val="28"/>
        </w:rPr>
      </w:pPr>
      <w:r>
        <w:rPr>
          <w:rFonts w:hint="eastAsia" w:ascii="仿宋_GB2312" w:hAnsi="仿宋_GB2312" w:eastAsia="仿宋_GB2312"/>
          <w:sz w:val="28"/>
          <w:szCs w:val="28"/>
        </w:rPr>
        <w:t>十四、下一步工作计划</w:t>
      </w:r>
      <w:bookmarkStart w:id="4" w:name="_GoBack"/>
      <w:bookmarkEnd w:id="4"/>
    </w:p>
    <w:tbl>
      <w:tblPr>
        <w:tblStyle w:val="7"/>
        <w:tblW w:w="9639" w:type="dxa"/>
        <w:tblInd w:w="-567" w:type="dxa"/>
        <w:tblLayout w:type="fixed"/>
        <w:tblCellMar>
          <w:top w:w="0" w:type="dxa"/>
          <w:left w:w="10" w:type="dxa"/>
          <w:bottom w:w="0" w:type="dxa"/>
          <w:right w:w="10" w:type="dxa"/>
        </w:tblCellMar>
      </w:tblPr>
      <w:tblGrid>
        <w:gridCol w:w="9639"/>
      </w:tblGrid>
      <w:tr>
        <w:tblPrEx>
          <w:tblLayout w:type="fixed"/>
          <w:tblCellMar>
            <w:top w:w="0" w:type="dxa"/>
            <w:left w:w="10" w:type="dxa"/>
            <w:bottom w:w="0" w:type="dxa"/>
            <w:right w:w="10" w:type="dxa"/>
          </w:tblCellMar>
        </w:tblPrEx>
        <w:tc>
          <w:tcPr>
            <w:tcW w:w="963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ind w:firstLine="420"/>
              <w:rPr>
                <w:rFonts w:ascii="Calibri" w:hAnsi="Calibri" w:eastAsia="Calibri"/>
                <w:szCs w:val="21"/>
              </w:rPr>
            </w:pPr>
            <w:r>
              <w:rPr>
                <w:rFonts w:hint="eastAsia" w:ascii="Calibri" w:hAnsi="Calibri" w:eastAsia="Calibri"/>
                <w:szCs w:val="21"/>
              </w:rPr>
              <w:t>完成</w:t>
            </w:r>
            <w:r>
              <w:rPr>
                <w:rFonts w:ascii="Calibri" w:hAnsi="Calibri" w:eastAsia="Calibri"/>
                <w:szCs w:val="21"/>
              </w:rPr>
              <w:t>细胞核定位效应蛋白E49的毒性机理解析</w:t>
            </w:r>
            <w:r>
              <w:rPr>
                <w:rFonts w:hint="eastAsia" w:ascii="Calibri" w:hAnsi="Calibri" w:eastAsia="Calibri"/>
                <w:szCs w:val="21"/>
              </w:rPr>
              <w:t>这一部分</w:t>
            </w:r>
            <w:r>
              <w:rPr>
                <w:rFonts w:ascii="Calibri" w:hAnsi="Calibri" w:eastAsia="Calibri"/>
                <w:szCs w:val="21"/>
              </w:rPr>
              <w:t>工作，写论文准备投稿</w:t>
            </w:r>
            <w:r>
              <w:rPr>
                <w:rFonts w:hint="eastAsia" w:ascii="Calibri" w:hAnsi="Calibri" w:eastAsia="Calibri"/>
                <w:szCs w:val="21"/>
              </w:rPr>
              <w:t>；继续</w:t>
            </w:r>
            <w:r>
              <w:rPr>
                <w:rFonts w:ascii="Calibri" w:hAnsi="Calibri" w:eastAsia="Calibri"/>
                <w:szCs w:val="21"/>
              </w:rPr>
              <w:t>进行植物对疫霉菌易感基因的筛选与功能分析</w:t>
            </w:r>
            <w:r>
              <w:rPr>
                <w:rFonts w:hint="eastAsia" w:ascii="Calibri" w:hAnsi="Calibri" w:eastAsia="Calibri"/>
                <w:szCs w:val="21"/>
              </w:rPr>
              <w:t>工作</w:t>
            </w:r>
            <w:r>
              <w:rPr>
                <w:rFonts w:ascii="Calibri" w:hAnsi="Calibri" w:eastAsia="Calibri"/>
                <w:szCs w:val="21"/>
              </w:rPr>
              <w:t>，争取筛选出更多候选基因</w:t>
            </w:r>
            <w:r>
              <w:rPr>
                <w:rFonts w:hint="eastAsia" w:ascii="Calibri" w:hAnsi="Calibri" w:eastAsia="Calibri"/>
                <w:szCs w:val="21"/>
              </w:rPr>
              <w:t>进行</w:t>
            </w:r>
            <w:r>
              <w:rPr>
                <w:rFonts w:ascii="Calibri" w:hAnsi="Calibri" w:eastAsia="Calibri"/>
                <w:szCs w:val="21"/>
              </w:rPr>
              <w:t>后续研究</w:t>
            </w:r>
            <w:r>
              <w:rPr>
                <w:rFonts w:hint="eastAsia" w:ascii="Calibri" w:hAnsi="Calibri" w:eastAsia="Calibri"/>
                <w:szCs w:val="21"/>
              </w:rPr>
              <w:t>。</w:t>
            </w:r>
          </w:p>
          <w:p>
            <w:pPr>
              <w:rPr>
                <w:rFonts w:ascii="仿宋_GB2312" w:hAnsi="仿宋_GB2312" w:eastAsia="仿宋_GB2312"/>
                <w:sz w:val="28"/>
                <w:szCs w:val="28"/>
              </w:rPr>
            </w:pPr>
          </w:p>
        </w:tc>
      </w:tr>
    </w:tbl>
    <w:p>
      <w:pPr>
        <w:jc w:val="center"/>
        <w:rPr>
          <w:rFonts w:ascii="仿宋_GB2312" w:hAnsi="仿宋_GB2312" w:eastAsia="仿宋_GB2312"/>
          <w:sz w:val="28"/>
          <w:szCs w:val="28"/>
        </w:rPr>
      </w:pPr>
    </w:p>
    <w:p>
      <w:pPr>
        <w:jc w:val="center"/>
        <w:rPr>
          <w:rFonts w:ascii="仿宋_GB2312" w:hAnsi="仿宋_GB2312" w:eastAsia="仿宋_GB2312"/>
          <w:b/>
          <w:sz w:val="28"/>
          <w:szCs w:val="28"/>
        </w:rPr>
      </w:pPr>
      <w:r>
        <w:rPr>
          <w:rFonts w:hint="eastAsia" w:ascii="仿宋_GB2312" w:hAnsi="仿宋_GB2312" w:eastAsia="仿宋_GB2312"/>
          <w:b/>
          <w:sz w:val="28"/>
          <w:szCs w:val="28"/>
        </w:rPr>
        <w:t>承  诺  书</w:t>
      </w:r>
    </w:p>
    <w:tbl>
      <w:tblPr>
        <w:tblStyle w:val="7"/>
        <w:tblW w:w="9639" w:type="dxa"/>
        <w:tblInd w:w="-567" w:type="dxa"/>
        <w:tblLayout w:type="fixed"/>
        <w:tblCellMar>
          <w:top w:w="0" w:type="dxa"/>
          <w:left w:w="10" w:type="dxa"/>
          <w:bottom w:w="0" w:type="dxa"/>
          <w:right w:w="10" w:type="dxa"/>
        </w:tblCellMar>
      </w:tblPr>
      <w:tblGrid>
        <w:gridCol w:w="9639"/>
      </w:tblGrid>
      <w:tr>
        <w:tblPrEx>
          <w:tblLayout w:type="fixed"/>
          <w:tblCellMar>
            <w:top w:w="0" w:type="dxa"/>
            <w:left w:w="10" w:type="dxa"/>
            <w:bottom w:w="0" w:type="dxa"/>
            <w:right w:w="10" w:type="dxa"/>
          </w:tblCellMar>
        </w:tblPrEx>
        <w:tc>
          <w:tcPr>
            <w:tcW w:w="963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rFonts w:ascii="仿宋_GB2312" w:hAnsi="仿宋_GB2312" w:eastAsia="仿宋_GB2312"/>
                <w:sz w:val="28"/>
                <w:szCs w:val="28"/>
              </w:rPr>
            </w:pPr>
            <w:r>
              <w:rPr>
                <w:rFonts w:hint="eastAsia" w:ascii="仿宋_GB2312" w:hAnsi="仿宋_GB2312" w:eastAsia="仿宋_GB2312"/>
                <w:sz w:val="28"/>
                <w:szCs w:val="28"/>
              </w:rPr>
              <w:t>本人郑重承诺，以上所填内容真实，对填写所有内容负责。</w:t>
            </w:r>
          </w:p>
          <w:p>
            <w:pPr>
              <w:rPr>
                <w:rFonts w:ascii="仿宋_GB2312" w:hAnsi="仿宋_GB2312" w:eastAsia="仿宋_GB2312"/>
                <w:sz w:val="28"/>
                <w:szCs w:val="28"/>
              </w:rPr>
            </w:pPr>
          </w:p>
          <w:p>
            <w:pPr>
              <w:ind w:firstLine="5320"/>
              <w:rPr>
                <w:rFonts w:ascii="仿宋_GB2312" w:hAnsi="仿宋_GB2312" w:eastAsia="仿宋_GB2312"/>
                <w:sz w:val="28"/>
                <w:szCs w:val="28"/>
              </w:rPr>
            </w:pPr>
            <w:r>
              <w:rPr>
                <w:rFonts w:hint="eastAsia" w:ascii="仿宋_GB2312" w:hAnsi="仿宋_GB2312" w:eastAsia="仿宋_GB2312"/>
                <w:sz w:val="28"/>
                <w:szCs w:val="28"/>
              </w:rPr>
              <w:t>签字：</w:t>
            </w:r>
          </w:p>
          <w:p>
            <w:pPr>
              <w:ind w:firstLine="5880"/>
              <w:rPr>
                <w:rFonts w:ascii="仿宋_GB2312" w:hAnsi="仿宋_GB2312" w:eastAsia="仿宋_GB2312"/>
                <w:sz w:val="28"/>
                <w:szCs w:val="28"/>
              </w:rPr>
            </w:pPr>
            <w:r>
              <w:rPr>
                <w:rFonts w:hint="eastAsia" w:ascii="仿宋_GB2312" w:hAnsi="仿宋_GB2312" w:eastAsia="仿宋_GB2312"/>
                <w:sz w:val="28"/>
                <w:szCs w:val="28"/>
              </w:rPr>
              <w:t>年     月    日</w:t>
            </w:r>
          </w:p>
        </w:tc>
      </w:tr>
    </w:tbl>
    <w:p>
      <w:pPr>
        <w:rPr>
          <w:rFonts w:ascii="仿宋_GB2312" w:hAnsi="仿宋_GB2312" w:eastAsia="仿宋_GB2312"/>
          <w:sz w:val="28"/>
          <w:szCs w:val="28"/>
        </w:rPr>
      </w:pPr>
    </w:p>
    <w:p>
      <w:pPr>
        <w:rPr>
          <w:rFonts w:ascii="仿宋_GB2312" w:hAnsi="仿宋_GB2312" w:eastAsia="仿宋_GB2312"/>
          <w:sz w:val="28"/>
          <w:szCs w:val="28"/>
        </w:rPr>
      </w:pPr>
      <w:r>
        <w:rPr>
          <w:rFonts w:hint="eastAsia" w:ascii="仿宋_GB2312" w:hAnsi="仿宋_GB2312" w:eastAsia="仿宋_GB2312"/>
          <w:sz w:val="28"/>
          <w:szCs w:val="28"/>
        </w:rPr>
        <w:t>十五、专家评估结果</w:t>
      </w:r>
    </w:p>
    <w:tbl>
      <w:tblPr>
        <w:tblStyle w:val="7"/>
        <w:tblW w:w="9518" w:type="dxa"/>
        <w:jc w:val="center"/>
        <w:tblInd w:w="0" w:type="dxa"/>
        <w:tblLayout w:type="fixed"/>
        <w:tblCellMar>
          <w:top w:w="0" w:type="dxa"/>
          <w:left w:w="10" w:type="dxa"/>
          <w:bottom w:w="0" w:type="dxa"/>
          <w:right w:w="10" w:type="dxa"/>
        </w:tblCellMar>
      </w:tblPr>
      <w:tblGrid>
        <w:gridCol w:w="9518"/>
      </w:tblGrid>
      <w:tr>
        <w:tblPrEx>
          <w:tblLayout w:type="fixed"/>
          <w:tblCellMar>
            <w:top w:w="0" w:type="dxa"/>
            <w:left w:w="10" w:type="dxa"/>
            <w:bottom w:w="0" w:type="dxa"/>
            <w:right w:w="10" w:type="dxa"/>
          </w:tblCellMar>
        </w:tblPrEx>
        <w:trPr>
          <w:trHeight w:val="1501" w:hRule="atLeast"/>
          <w:jc w:val="center"/>
        </w:trPr>
        <w:tc>
          <w:tcPr>
            <w:tcW w:w="951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ind w:firstLine="560"/>
              <w:rPr>
                <w:rFonts w:ascii="仿宋_GB2312" w:hAnsi="仿宋_GB2312" w:eastAsia="仿宋_GB2312"/>
                <w:sz w:val="28"/>
                <w:szCs w:val="28"/>
              </w:rPr>
            </w:pPr>
            <w:r>
              <w:rPr>
                <w:rFonts w:hint="eastAsia" w:ascii="仿宋_GB2312" w:hAnsi="仿宋_GB2312" w:eastAsia="仿宋_GB2312"/>
                <w:sz w:val="28"/>
                <w:szCs w:val="28"/>
              </w:rPr>
              <w:t>学院于</w:t>
            </w:r>
            <w:r>
              <w:rPr>
                <w:rFonts w:hint="eastAsia" w:ascii="仿宋_GB2312" w:hAnsi="仿宋_GB2312" w:eastAsia="仿宋_GB2312"/>
                <w:sz w:val="28"/>
                <w:szCs w:val="28"/>
                <w:u w:val="single"/>
              </w:rPr>
              <w:t xml:space="preserve">       </w:t>
            </w:r>
            <w:r>
              <w:rPr>
                <w:rFonts w:hint="eastAsia" w:ascii="仿宋_GB2312" w:hAnsi="仿宋_GB2312" w:eastAsia="仿宋_GB2312"/>
                <w:sz w:val="28"/>
                <w:szCs w:val="28"/>
              </w:rPr>
              <w:t>年</w:t>
            </w:r>
            <w:r>
              <w:rPr>
                <w:rFonts w:hint="eastAsia" w:ascii="仿宋_GB2312" w:hAnsi="仿宋_GB2312" w:eastAsia="仿宋_GB2312"/>
                <w:sz w:val="28"/>
                <w:szCs w:val="28"/>
                <w:u w:val="single"/>
              </w:rPr>
              <w:t xml:space="preserve">    </w:t>
            </w:r>
            <w:r>
              <w:rPr>
                <w:rFonts w:hint="eastAsia" w:ascii="仿宋_GB2312" w:hAnsi="仿宋_GB2312" w:eastAsia="仿宋_GB2312"/>
                <w:sz w:val="28"/>
                <w:szCs w:val="28"/>
              </w:rPr>
              <w:t>月</w:t>
            </w:r>
            <w:r>
              <w:rPr>
                <w:rFonts w:hint="eastAsia" w:ascii="仿宋_GB2312" w:hAnsi="仿宋_GB2312" w:eastAsia="仿宋_GB2312"/>
                <w:sz w:val="28"/>
                <w:szCs w:val="28"/>
                <w:u w:val="single"/>
              </w:rPr>
              <w:t xml:space="preserve">    </w:t>
            </w:r>
            <w:r>
              <w:rPr>
                <w:rFonts w:hint="eastAsia" w:ascii="仿宋_GB2312" w:hAnsi="仿宋_GB2312" w:eastAsia="仿宋_GB2312"/>
                <w:sz w:val="28"/>
                <w:szCs w:val="28"/>
              </w:rPr>
              <w:t>日举行了对引进人才</w:t>
            </w:r>
            <w:r>
              <w:rPr>
                <w:rFonts w:hint="eastAsia" w:ascii="仿宋_GB2312" w:hAnsi="仿宋_GB2312" w:eastAsia="仿宋_GB2312"/>
                <w:sz w:val="28"/>
                <w:szCs w:val="28"/>
                <w:u w:val="single"/>
              </w:rPr>
              <w:t xml:space="preserve">         </w:t>
            </w:r>
            <w:r>
              <w:rPr>
                <w:rFonts w:hint="eastAsia" w:ascii="仿宋_GB2312" w:hAnsi="仿宋_GB2312" w:eastAsia="仿宋_GB2312"/>
                <w:sz w:val="28"/>
                <w:szCs w:val="28"/>
              </w:rPr>
              <w:t>的聘期中期评估会，共参会专家</w:t>
            </w:r>
            <w:r>
              <w:rPr>
                <w:rFonts w:hint="eastAsia" w:ascii="仿宋_GB2312" w:hAnsi="仿宋_GB2312" w:eastAsia="仿宋_GB2312"/>
                <w:sz w:val="28"/>
                <w:szCs w:val="28"/>
                <w:u w:val="single"/>
              </w:rPr>
              <w:t xml:space="preserve">     </w:t>
            </w:r>
            <w:r>
              <w:rPr>
                <w:rFonts w:hint="eastAsia" w:ascii="仿宋_GB2312" w:hAnsi="仿宋_GB2312" w:eastAsia="仿宋_GB2312"/>
                <w:sz w:val="28"/>
                <w:szCs w:val="28"/>
              </w:rPr>
              <w:t>人，评估结果为合格</w:t>
            </w:r>
            <w:r>
              <w:rPr>
                <w:rFonts w:hint="eastAsia" w:ascii="仿宋_GB2312" w:hAnsi="仿宋_GB2312" w:eastAsia="仿宋_GB2312"/>
                <w:sz w:val="28"/>
                <w:szCs w:val="28"/>
                <w:u w:val="single"/>
              </w:rPr>
              <w:t xml:space="preserve">     </w:t>
            </w:r>
            <w:r>
              <w:rPr>
                <w:rFonts w:hint="eastAsia" w:ascii="仿宋_GB2312" w:hAnsi="仿宋_GB2312" w:eastAsia="仿宋_GB2312"/>
                <w:sz w:val="28"/>
                <w:szCs w:val="28"/>
              </w:rPr>
              <w:t>票，基本合格，需改进</w:t>
            </w:r>
          </w:p>
          <w:p>
            <w:pPr>
              <w:rPr>
                <w:rFonts w:ascii="仿宋_GB2312" w:hAnsi="仿宋_GB2312" w:eastAsia="仿宋_GB2312"/>
                <w:sz w:val="28"/>
                <w:szCs w:val="28"/>
              </w:rPr>
            </w:pPr>
            <w:r>
              <w:rPr>
                <w:rFonts w:hint="eastAsia" w:ascii="仿宋_GB2312" w:hAnsi="仿宋_GB2312" w:eastAsia="仿宋_GB2312"/>
                <w:sz w:val="28"/>
                <w:szCs w:val="28"/>
                <w:u w:val="single"/>
              </w:rPr>
              <w:t xml:space="preserve"> </w:t>
            </w:r>
            <w:r>
              <w:rPr>
                <w:rFonts w:ascii="仿宋_GB2312" w:hAnsi="仿宋_GB2312" w:eastAsia="仿宋_GB2312"/>
                <w:sz w:val="28"/>
                <w:szCs w:val="28"/>
                <w:u w:val="single"/>
              </w:rPr>
              <w:t xml:space="preserve">    </w:t>
            </w:r>
            <w:r>
              <w:rPr>
                <w:rFonts w:hint="eastAsia" w:ascii="仿宋_GB2312" w:hAnsi="仿宋_GB2312" w:eastAsia="仿宋_GB2312"/>
                <w:sz w:val="28"/>
                <w:szCs w:val="28"/>
                <w:u w:val="single"/>
              </w:rPr>
              <w:t xml:space="preserve">      </w:t>
            </w:r>
            <w:r>
              <w:rPr>
                <w:rFonts w:hint="eastAsia" w:ascii="仿宋_GB2312" w:hAnsi="仿宋_GB2312" w:eastAsia="仿宋_GB2312"/>
                <w:sz w:val="28"/>
                <w:szCs w:val="28"/>
              </w:rPr>
              <w:t>票，</w:t>
            </w:r>
            <w:r>
              <w:rPr>
                <w:rFonts w:ascii="仿宋_GB2312" w:hAnsi="仿宋_GB2312" w:eastAsia="仿宋_GB2312"/>
                <w:sz w:val="28"/>
                <w:szCs w:val="28"/>
              </w:rPr>
              <w:t>不</w:t>
            </w:r>
            <w:r>
              <w:rPr>
                <w:rFonts w:hint="eastAsia" w:ascii="仿宋_GB2312" w:hAnsi="仿宋_GB2312" w:eastAsia="仿宋_GB2312"/>
                <w:sz w:val="28"/>
                <w:szCs w:val="28"/>
              </w:rPr>
              <w:t>合格，</w:t>
            </w:r>
            <w:r>
              <w:rPr>
                <w:rFonts w:hint="eastAsia" w:ascii="仿宋_GB2312" w:hAnsi="仿宋_GB2312" w:eastAsia="仿宋_GB2312"/>
                <w:sz w:val="28"/>
                <w:szCs w:val="28"/>
                <w:u w:val="single"/>
              </w:rPr>
              <w:t xml:space="preserve">        </w:t>
            </w:r>
            <w:r>
              <w:rPr>
                <w:rFonts w:hint="eastAsia" w:ascii="仿宋_GB2312" w:hAnsi="仿宋_GB2312" w:eastAsia="仿宋_GB2312"/>
                <w:sz w:val="28"/>
                <w:szCs w:val="28"/>
              </w:rPr>
              <w:t>票。</w:t>
            </w:r>
          </w:p>
        </w:tc>
      </w:tr>
    </w:tbl>
    <w:p>
      <w:pPr>
        <w:rPr>
          <w:rFonts w:ascii="仿宋_GB2312" w:hAnsi="仿宋_GB2312" w:eastAsia="仿宋_GB2312"/>
          <w:sz w:val="28"/>
          <w:szCs w:val="28"/>
        </w:rPr>
      </w:pPr>
    </w:p>
    <w:p>
      <w:pPr>
        <w:rPr>
          <w:rFonts w:ascii="仿宋_GB2312" w:hAnsi="仿宋_GB2312" w:eastAsia="仿宋_GB2312"/>
          <w:sz w:val="28"/>
          <w:szCs w:val="28"/>
        </w:rPr>
      </w:pPr>
      <w:r>
        <w:rPr>
          <w:rFonts w:hint="eastAsia" w:ascii="仿宋_GB2312" w:hAnsi="仿宋_GB2312" w:eastAsia="仿宋_GB2312"/>
          <w:sz w:val="28"/>
          <w:szCs w:val="28"/>
        </w:rPr>
        <w:t>十六、学院意见</w:t>
      </w:r>
    </w:p>
    <w:tbl>
      <w:tblPr>
        <w:tblStyle w:val="7"/>
        <w:tblW w:w="9626" w:type="dxa"/>
        <w:jc w:val="center"/>
        <w:tblInd w:w="0" w:type="dxa"/>
        <w:tblLayout w:type="fixed"/>
        <w:tblCellMar>
          <w:top w:w="0" w:type="dxa"/>
          <w:left w:w="10" w:type="dxa"/>
          <w:bottom w:w="0" w:type="dxa"/>
          <w:right w:w="10" w:type="dxa"/>
        </w:tblCellMar>
      </w:tblPr>
      <w:tblGrid>
        <w:gridCol w:w="9626"/>
      </w:tblGrid>
      <w:tr>
        <w:tblPrEx>
          <w:tblLayout w:type="fixed"/>
          <w:tblCellMar>
            <w:top w:w="0" w:type="dxa"/>
            <w:left w:w="10" w:type="dxa"/>
            <w:bottom w:w="0" w:type="dxa"/>
            <w:right w:w="10" w:type="dxa"/>
          </w:tblCellMar>
        </w:tblPrEx>
        <w:trPr>
          <w:trHeight w:val="1419" w:hRule="atLeast"/>
          <w:jc w:val="center"/>
        </w:trPr>
        <w:tc>
          <w:tcPr>
            <w:tcW w:w="96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rFonts w:ascii="仿宋_GB2312" w:hAnsi="仿宋_GB2312" w:eastAsia="仿宋_GB2312"/>
                <w:sz w:val="28"/>
                <w:szCs w:val="28"/>
              </w:rPr>
            </w:pPr>
            <w:r>
              <w:rPr>
                <w:rFonts w:hint="eastAsia" w:ascii="仿宋_GB2312" w:hAnsi="仿宋_GB2312" w:eastAsia="仿宋_GB2312"/>
                <w:sz w:val="28"/>
                <w:szCs w:val="28"/>
              </w:rPr>
              <w:t>学院对参加评估人员的材料审查情况，是否属实</w:t>
            </w:r>
          </w:p>
          <w:p>
            <w:pPr>
              <w:ind w:firstLine="140"/>
              <w:rPr>
                <w:rFonts w:ascii="仿宋_GB2312" w:hAnsi="仿宋_GB2312" w:eastAsia="仿宋_GB2312"/>
                <w:sz w:val="28"/>
                <w:szCs w:val="28"/>
              </w:rPr>
            </w:pPr>
            <w:r>
              <w:rPr>
                <w:rFonts w:hint="eastAsia" w:ascii="仿宋_GB2312" w:hAnsi="仿宋_GB2312" w:eastAsia="仿宋_GB2312"/>
                <w:sz w:val="28"/>
                <w:szCs w:val="28"/>
              </w:rPr>
              <w:t xml:space="preserve">是□                  否□            </w:t>
            </w:r>
          </w:p>
        </w:tc>
      </w:tr>
      <w:tr>
        <w:tblPrEx>
          <w:tblLayout w:type="fixed"/>
          <w:tblCellMar>
            <w:top w:w="0" w:type="dxa"/>
            <w:left w:w="10" w:type="dxa"/>
            <w:bottom w:w="0" w:type="dxa"/>
            <w:right w:w="10" w:type="dxa"/>
          </w:tblCellMar>
        </w:tblPrEx>
        <w:trPr>
          <w:trHeight w:val="3924" w:hRule="atLeast"/>
          <w:jc w:val="center"/>
        </w:trPr>
        <w:tc>
          <w:tcPr>
            <w:tcW w:w="96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rFonts w:ascii="仿宋_GB2312" w:hAnsi="仿宋_GB2312" w:eastAsia="仿宋_GB2312" w:cs="宋体"/>
                <w:i/>
                <w:color w:val="595959"/>
                <w:sz w:val="24"/>
              </w:rPr>
            </w:pPr>
            <w:r>
              <w:rPr>
                <w:rFonts w:hint="eastAsia" w:ascii="仿宋_GB2312" w:hAnsi="仿宋_GB2312" w:eastAsia="仿宋_GB2312"/>
                <w:sz w:val="28"/>
                <w:szCs w:val="28"/>
              </w:rPr>
              <w:t>思想品德鉴定</w:t>
            </w:r>
            <w:r>
              <w:rPr>
                <w:rFonts w:hint="eastAsia" w:ascii="仿宋_GB2312" w:hAnsi="仿宋_GB2312" w:eastAsia="仿宋_GB2312" w:cs="宋体"/>
                <w:i/>
                <w:color w:val="595959"/>
                <w:sz w:val="24"/>
              </w:rPr>
              <w:t>（请对其聘期内思想政治表现、遵守师德师风情况、有无处分、犯罪记录及学术不端行为做出鉴定）</w:t>
            </w:r>
          </w:p>
          <w:p>
            <w:pPr>
              <w:ind w:firstLine="280"/>
              <w:rPr>
                <w:rFonts w:ascii="仿宋_GB2312" w:hAnsi="仿宋_GB2312" w:eastAsia="仿宋_GB2312"/>
                <w:sz w:val="28"/>
                <w:szCs w:val="28"/>
              </w:rPr>
            </w:pPr>
          </w:p>
          <w:p>
            <w:pPr>
              <w:ind w:firstLine="280"/>
              <w:rPr>
                <w:rFonts w:ascii="仿宋_GB2312" w:hAnsi="仿宋_GB2312" w:eastAsia="仿宋_GB2312"/>
                <w:sz w:val="28"/>
                <w:szCs w:val="28"/>
              </w:rPr>
            </w:pPr>
          </w:p>
          <w:p>
            <w:pPr>
              <w:rPr>
                <w:rFonts w:ascii="仿宋_GB2312" w:hAnsi="仿宋_GB2312" w:eastAsia="仿宋_GB2312"/>
                <w:sz w:val="28"/>
                <w:szCs w:val="28"/>
              </w:rPr>
            </w:pPr>
          </w:p>
          <w:p>
            <w:pPr>
              <w:rPr>
                <w:rFonts w:ascii="仿宋_GB2312" w:hAnsi="仿宋_GB2312" w:eastAsia="仿宋_GB2312"/>
                <w:sz w:val="28"/>
                <w:szCs w:val="28"/>
              </w:rPr>
            </w:pPr>
          </w:p>
          <w:p>
            <w:pPr>
              <w:rPr>
                <w:rFonts w:ascii="仿宋_GB2312" w:hAnsi="仿宋_GB2312" w:eastAsia="仿宋_GB2312"/>
                <w:sz w:val="28"/>
                <w:szCs w:val="28"/>
              </w:rPr>
            </w:pPr>
          </w:p>
          <w:p>
            <w:pPr>
              <w:ind w:left="4901" w:right="560" w:firstLine="1400"/>
              <w:rPr>
                <w:rFonts w:ascii="仿宋_GB2312" w:hAnsi="仿宋_GB2312" w:eastAsia="仿宋_GB2312"/>
                <w:sz w:val="28"/>
                <w:szCs w:val="28"/>
              </w:rPr>
            </w:pPr>
            <w:r>
              <w:rPr>
                <w:rFonts w:hint="eastAsia" w:ascii="仿宋_GB2312" w:hAnsi="仿宋_GB2312" w:eastAsia="仿宋_GB2312"/>
                <w:sz w:val="28"/>
                <w:szCs w:val="28"/>
              </w:rPr>
              <w:t xml:space="preserve">                                  （公章）</w:t>
            </w:r>
          </w:p>
          <w:p>
            <w:pPr>
              <w:rPr>
                <w:rFonts w:ascii="仿宋_GB2312" w:hAnsi="仿宋_GB2312" w:eastAsia="仿宋_GB2312"/>
                <w:sz w:val="28"/>
                <w:szCs w:val="28"/>
              </w:rPr>
            </w:pPr>
            <w:r>
              <w:rPr>
                <w:rFonts w:hint="eastAsia" w:ascii="仿宋_GB2312" w:hAnsi="仿宋_GB2312" w:eastAsia="仿宋_GB2312"/>
                <w:sz w:val="28"/>
                <w:szCs w:val="28"/>
              </w:rPr>
              <w:t>党委书记（签字）：                   年    月    日</w:t>
            </w:r>
          </w:p>
        </w:tc>
      </w:tr>
      <w:tr>
        <w:tblPrEx>
          <w:tblLayout w:type="fixed"/>
          <w:tblCellMar>
            <w:top w:w="0" w:type="dxa"/>
            <w:left w:w="10" w:type="dxa"/>
            <w:bottom w:w="0" w:type="dxa"/>
            <w:right w:w="10" w:type="dxa"/>
          </w:tblCellMar>
        </w:tblPrEx>
        <w:trPr>
          <w:trHeight w:val="5801" w:hRule="atLeast"/>
          <w:jc w:val="center"/>
        </w:trPr>
        <w:tc>
          <w:tcPr>
            <w:tcW w:w="96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rFonts w:ascii="仿宋_GB2312" w:hAnsi="仿宋_GB2312" w:eastAsia="仿宋_GB2312"/>
                <w:sz w:val="28"/>
                <w:szCs w:val="28"/>
              </w:rPr>
            </w:pPr>
            <w:r>
              <w:rPr>
                <w:rFonts w:hint="eastAsia" w:ascii="仿宋_GB2312" w:hAnsi="仿宋_GB2312" w:eastAsia="仿宋_GB2312"/>
                <w:sz w:val="28"/>
                <w:szCs w:val="28"/>
              </w:rPr>
              <w:t>学院评估</w:t>
            </w:r>
            <w:r>
              <w:rPr>
                <w:rFonts w:ascii="仿宋_GB2312" w:hAnsi="仿宋_GB2312" w:eastAsia="仿宋_GB2312"/>
                <w:sz w:val="28"/>
                <w:szCs w:val="28"/>
              </w:rPr>
              <w:t>结果</w:t>
            </w:r>
            <w:r>
              <w:rPr>
                <w:rFonts w:hint="eastAsia" w:ascii="仿宋_GB2312" w:hAnsi="仿宋_GB2312" w:eastAsia="仿宋_GB2312"/>
                <w:sz w:val="28"/>
                <w:szCs w:val="28"/>
              </w:rPr>
              <w:t>及</w:t>
            </w:r>
            <w:r>
              <w:rPr>
                <w:rFonts w:ascii="仿宋_GB2312" w:hAnsi="仿宋_GB2312" w:eastAsia="仿宋_GB2312"/>
                <w:sz w:val="28"/>
                <w:szCs w:val="28"/>
              </w:rPr>
              <w:t>意见：</w:t>
            </w:r>
          </w:p>
          <w:p>
            <w:pPr>
              <w:rPr>
                <w:rFonts w:ascii="仿宋_GB2312" w:hAnsi="仿宋_GB2312" w:eastAsia="仿宋_GB2312" w:cs="仿宋_GB2312"/>
                <w:sz w:val="28"/>
                <w:szCs w:val="28"/>
              </w:rPr>
            </w:pPr>
            <w:r>
              <w:rPr>
                <w:rFonts w:hint="eastAsia" w:ascii="仿宋_GB2312" w:hAnsi="仿宋_GB2312" w:eastAsia="仿宋_GB2312" w:cs="仿宋_GB2312"/>
                <w:sz w:val="28"/>
                <w:szCs w:val="28"/>
              </w:rPr>
              <w:t>□合格           □不合格，需改进</w:t>
            </w:r>
          </w:p>
          <w:p>
            <w:pPr>
              <w:rPr>
                <w:rFonts w:ascii="仿宋_GB2312" w:hAnsi="仿宋_GB2312" w:eastAsia="仿宋_GB2312"/>
                <w:i/>
                <w:color w:val="595959"/>
                <w:sz w:val="24"/>
              </w:rPr>
            </w:pPr>
            <w:r>
              <w:rPr>
                <w:rFonts w:hint="eastAsia" w:ascii="仿宋_GB2312" w:hAnsi="仿宋_GB2312" w:eastAsia="仿宋_GB2312"/>
                <w:i/>
                <w:color w:val="595959"/>
                <w:sz w:val="24"/>
              </w:rPr>
              <w:t>1.请定性描述参加评估人员工作状态</w:t>
            </w:r>
          </w:p>
          <w:p>
            <w:pPr>
              <w:rPr>
                <w:rFonts w:ascii="仿宋_GB2312" w:hAnsi="仿宋_GB2312" w:eastAsia="仿宋_GB2312"/>
                <w:i/>
                <w:color w:val="595959"/>
                <w:sz w:val="24"/>
              </w:rPr>
            </w:pPr>
            <w:r>
              <w:rPr>
                <w:rFonts w:hint="eastAsia" w:ascii="仿宋_GB2312" w:hAnsi="仿宋_GB2312" w:eastAsia="仿宋_GB2312"/>
                <w:i/>
                <w:color w:val="595959"/>
                <w:sz w:val="24"/>
              </w:rPr>
              <w:t>2.对评估不合格者，请提出明确处理意见和整改措施。</w:t>
            </w:r>
          </w:p>
          <w:p>
            <w:pPr>
              <w:rPr>
                <w:rFonts w:ascii="仿宋_GB2312" w:hAnsi="仿宋_GB2312" w:eastAsia="仿宋_GB2312"/>
                <w:color w:val="595959"/>
                <w:sz w:val="28"/>
                <w:szCs w:val="28"/>
              </w:rPr>
            </w:pPr>
          </w:p>
          <w:p>
            <w:pPr>
              <w:rPr>
                <w:rFonts w:ascii="仿宋_GB2312" w:hAnsi="仿宋_GB2312" w:eastAsia="仿宋_GB2312"/>
                <w:color w:val="595959"/>
                <w:sz w:val="28"/>
                <w:szCs w:val="28"/>
              </w:rPr>
            </w:pPr>
          </w:p>
          <w:p>
            <w:pPr>
              <w:rPr>
                <w:rFonts w:ascii="仿宋_GB2312" w:hAnsi="仿宋_GB2312" w:eastAsia="仿宋_GB2312"/>
                <w:color w:val="595959"/>
                <w:sz w:val="28"/>
                <w:szCs w:val="28"/>
              </w:rPr>
            </w:pPr>
          </w:p>
          <w:p>
            <w:pPr>
              <w:rPr>
                <w:rFonts w:ascii="仿宋_GB2312" w:hAnsi="仿宋_GB2312" w:eastAsia="仿宋_GB2312"/>
                <w:color w:val="595959"/>
                <w:sz w:val="28"/>
                <w:szCs w:val="28"/>
              </w:rPr>
            </w:pPr>
          </w:p>
          <w:p>
            <w:pPr>
              <w:ind w:right="560" w:firstLine="6300"/>
              <w:rPr>
                <w:rFonts w:ascii="仿宋_GB2312" w:hAnsi="仿宋_GB2312" w:eastAsia="仿宋_GB2312"/>
                <w:sz w:val="28"/>
                <w:szCs w:val="28"/>
              </w:rPr>
            </w:pPr>
          </w:p>
          <w:p>
            <w:pPr>
              <w:ind w:right="560" w:firstLine="5180"/>
              <w:rPr>
                <w:rFonts w:ascii="仿宋_GB2312" w:hAnsi="仿宋_GB2312" w:eastAsia="仿宋_GB2312"/>
                <w:sz w:val="28"/>
                <w:szCs w:val="28"/>
              </w:rPr>
            </w:pPr>
            <w:r>
              <w:rPr>
                <w:rFonts w:hint="eastAsia" w:ascii="仿宋_GB2312" w:hAnsi="仿宋_GB2312" w:eastAsia="仿宋_GB2312"/>
                <w:sz w:val="28"/>
                <w:szCs w:val="28"/>
              </w:rPr>
              <w:t>（公章）</w:t>
            </w:r>
          </w:p>
          <w:p>
            <w:pPr>
              <w:ind w:firstLine="280"/>
              <w:rPr>
                <w:rFonts w:ascii="仿宋_GB2312" w:hAnsi="仿宋_GB2312" w:eastAsia="仿宋_GB2312"/>
                <w:sz w:val="28"/>
                <w:szCs w:val="28"/>
              </w:rPr>
            </w:pPr>
            <w:r>
              <w:rPr>
                <w:rFonts w:hint="eastAsia" w:ascii="仿宋_GB2312" w:hAnsi="仿宋_GB2312" w:eastAsia="仿宋_GB2312"/>
                <w:sz w:val="28"/>
                <w:szCs w:val="28"/>
              </w:rPr>
              <w:t>院长（签字）：                     20</w:t>
            </w:r>
            <w:r>
              <w:rPr>
                <w:rFonts w:ascii="仿宋_GB2312" w:hAnsi="仿宋_GB2312" w:eastAsia="仿宋_GB2312"/>
                <w:sz w:val="28"/>
                <w:szCs w:val="28"/>
              </w:rPr>
              <w:t xml:space="preserve">  </w:t>
            </w:r>
            <w:r>
              <w:rPr>
                <w:rFonts w:hint="eastAsia" w:ascii="仿宋_GB2312" w:hAnsi="仿宋_GB2312" w:eastAsia="仿宋_GB2312"/>
                <w:sz w:val="28"/>
                <w:szCs w:val="28"/>
              </w:rPr>
              <w:t>年    月    日</w:t>
            </w:r>
          </w:p>
        </w:tc>
      </w:tr>
    </w:tbl>
    <w:p>
      <w:pPr>
        <w:rPr>
          <w:rFonts w:ascii="仿宋_GB2312" w:hAnsi="仿宋_GB2312" w:eastAsia="仿宋_GB2312"/>
          <w:sz w:val="28"/>
          <w:szCs w:val="28"/>
        </w:rPr>
      </w:pPr>
    </w:p>
    <w:sectPr>
      <w:endnotePr>
        <w:numFmt w:val="decimal"/>
      </w:endnotePr>
      <w:pgSz w:w="11906" w:h="16838"/>
      <w:pgMar w:top="1134" w:right="1797" w:bottom="1134" w:left="1797"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Mincho">
    <w:panose1 w:val="02020609040205080304"/>
    <w:charset w:val="80"/>
    <w:family w:val="modern"/>
    <w:pitch w:val="default"/>
    <w:sig w:usb0="E00002FF" w:usb1="6AC7FDFB" w:usb2="00000012" w:usb3="00000000" w:csb0="4002009F" w:csb1="DFD7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characterSpacingControl w:val="doNotCompress"/>
  <w:endnotePr>
    <w:numFmt w:val="decimal"/>
  </w:endnotePr>
  <w:compat>
    <w:doNotExpandShiftReturn/>
    <w:useFELayout/>
    <w:compatSetting w:name="compatibilityMode" w:uri="http://schemas.microsoft.com/office/word" w:val="12"/>
  </w:compat>
  <w:rsids>
    <w:rsidRoot w:val="00405D8D"/>
    <w:rsid w:val="00405D8D"/>
    <w:rsid w:val="007E4CEB"/>
    <w:rsid w:val="633C5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iPriority="99"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1"/>
      <w:sz w:val="21"/>
      <w:szCs w:val="24"/>
      <w:lang w:val="en-US" w:eastAsia="zh-CN" w:bidi="ar-SA"/>
    </w:rPr>
  </w:style>
  <w:style w:type="paragraph" w:styleId="2">
    <w:name w:val="heading 1"/>
    <w:next w:val="1"/>
    <w:qFormat/>
    <w:uiPriority w:val="0"/>
    <w:pPr>
      <w:keepNext/>
      <w:keepLines/>
      <w:widowControl w:val="0"/>
      <w:spacing w:before="340" w:after="330" w:line="578" w:lineRule="auto"/>
      <w:jc w:val="both"/>
      <w:outlineLvl w:val="0"/>
    </w:pPr>
    <w:rPr>
      <w:rFonts w:ascii="Times New Roman" w:hAnsi="Times New Roman" w:eastAsia="宋体" w:cs="Times New Roman"/>
      <w:b/>
      <w:bCs/>
      <w:kern w:val="1"/>
      <w:sz w:val="44"/>
      <w:szCs w:val="4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3">
    <w:name w:val="Balloon Text"/>
    <w:qFormat/>
    <w:uiPriority w:val="0"/>
    <w:pPr>
      <w:widowControl w:val="0"/>
      <w:jc w:val="both"/>
    </w:pPr>
    <w:rPr>
      <w:rFonts w:ascii="Times New Roman" w:hAnsi="Times New Roman" w:eastAsia="宋体" w:cs="Times New Roman"/>
      <w:kern w:val="1"/>
      <w:sz w:val="18"/>
      <w:szCs w:val="18"/>
      <w:lang w:val="en-US" w:eastAsia="zh-CN" w:bidi="ar-SA"/>
    </w:rPr>
  </w:style>
  <w:style w:type="paragraph" w:styleId="4">
    <w:name w:val="footer"/>
    <w:qFormat/>
    <w:uiPriority w:val="0"/>
    <w:pPr>
      <w:widowControl w:val="0"/>
      <w:tabs>
        <w:tab w:val="center" w:pos="4153"/>
        <w:tab w:val="right" w:pos="8306"/>
      </w:tabs>
      <w:jc w:val="left"/>
    </w:pPr>
    <w:rPr>
      <w:rFonts w:ascii="Calibri" w:hAnsi="Calibri" w:eastAsia="Calibri" w:cs="Times New Roman"/>
      <w:kern w:val="1"/>
      <w:sz w:val="18"/>
      <w:szCs w:val="18"/>
      <w:lang w:val="en-US" w:eastAsia="zh-CN" w:bidi="ar-SA"/>
    </w:rPr>
  </w:style>
  <w:style w:type="paragraph" w:styleId="5">
    <w:name w:val="header"/>
    <w:qFormat/>
    <w:uiPriority w:val="0"/>
    <w:pPr>
      <w:widowControl w:val="0"/>
      <w:pBdr>
        <w:top w:val="none" w:color="000000" w:sz="0" w:space="3"/>
        <w:left w:val="none" w:color="000000" w:sz="0" w:space="3"/>
        <w:bottom w:val="single" w:color="000000" w:sz="6" w:space="1"/>
        <w:right w:val="none" w:color="000000" w:sz="0" w:space="3"/>
        <w:between w:val="none" w:color="000000" w:sz="0" w:space="0"/>
      </w:pBdr>
      <w:tabs>
        <w:tab w:val="center" w:pos="4153"/>
        <w:tab w:val="right" w:pos="8306"/>
      </w:tabs>
      <w:jc w:val="center"/>
    </w:pPr>
    <w:rPr>
      <w:rFonts w:ascii="Calibri" w:hAnsi="Calibri" w:eastAsia="Calibri" w:cs="Times New Roman"/>
      <w:kern w:val="1"/>
      <w:sz w:val="18"/>
      <w:szCs w:val="18"/>
      <w:lang w:val="en-US" w:eastAsia="zh-CN" w:bidi="ar-SA"/>
    </w:rPr>
  </w:style>
  <w:style w:type="paragraph" w:styleId="6">
    <w:name w:val="Normal (Web)"/>
    <w:qFormat/>
    <w:uiPriority w:val="0"/>
    <w:pPr>
      <w:widowControl/>
      <w:spacing w:before="100" w:beforeAutospacing="1" w:after="100" w:afterAutospacing="1"/>
      <w:jc w:val="left"/>
    </w:pPr>
    <w:rPr>
      <w:rFonts w:ascii="宋体" w:hAnsi="宋体" w:eastAsia="宋体" w:cs="Times New Roman"/>
      <w:kern w:val="1"/>
      <w:sz w:val="24"/>
      <w:szCs w:val="24"/>
      <w:lang w:val="en-US" w:eastAsia="zh-CN" w:bidi="ar-SA"/>
    </w:rPr>
  </w:style>
  <w:style w:type="paragraph" w:customStyle="1" w:styleId="9">
    <w:name w:val="批注文字1"/>
    <w:qFormat/>
    <w:uiPriority w:val="0"/>
    <w:pPr>
      <w:widowControl w:val="0"/>
      <w:jc w:val="left"/>
    </w:pPr>
    <w:rPr>
      <w:rFonts w:ascii="Times New Roman" w:hAnsi="Times New Roman" w:eastAsia="宋体" w:cs="Times New Roman"/>
      <w:kern w:val="1"/>
      <w:sz w:val="21"/>
      <w:szCs w:val="24"/>
      <w:lang w:val="en-US" w:eastAsia="zh-CN" w:bidi="ar-SA"/>
    </w:rPr>
  </w:style>
  <w:style w:type="paragraph" w:customStyle="1" w:styleId="10">
    <w:name w:val="批注主题1"/>
    <w:basedOn w:val="9"/>
    <w:next w:val="9"/>
    <w:qFormat/>
    <w:uiPriority w:val="0"/>
    <w:rPr>
      <w:b/>
      <w:bCs/>
    </w:rPr>
  </w:style>
  <w:style w:type="character" w:customStyle="1" w:styleId="11">
    <w:name w:val="页眉字符"/>
    <w:uiPriority w:val="0"/>
    <w:rPr>
      <w:sz w:val="18"/>
      <w:szCs w:val="18"/>
    </w:rPr>
  </w:style>
  <w:style w:type="character" w:customStyle="1" w:styleId="12">
    <w:name w:val="页脚字符"/>
    <w:uiPriority w:val="0"/>
    <w:rPr>
      <w:sz w:val="18"/>
      <w:szCs w:val="18"/>
    </w:rPr>
  </w:style>
  <w:style w:type="character" w:customStyle="1" w:styleId="13">
    <w:name w:val="标题 1字符"/>
    <w:uiPriority w:val="0"/>
    <w:rPr>
      <w:rFonts w:ascii="Times New Roman" w:hAnsi="Times New Roman" w:eastAsia="宋体" w:cs="Times New Roman"/>
      <w:b/>
      <w:bCs/>
      <w:kern w:val="1"/>
      <w:sz w:val="44"/>
      <w:szCs w:val="44"/>
    </w:rPr>
  </w:style>
  <w:style w:type="character" w:customStyle="1" w:styleId="14">
    <w:name w:val="批注框文本字符"/>
    <w:qFormat/>
    <w:uiPriority w:val="0"/>
    <w:rPr>
      <w:rFonts w:ascii="Times New Roman" w:hAnsi="Times New Roman" w:eastAsia="宋体" w:cs="Times New Roman"/>
      <w:sz w:val="18"/>
      <w:szCs w:val="18"/>
    </w:rPr>
  </w:style>
  <w:style w:type="character" w:customStyle="1" w:styleId="15">
    <w:name w:val="批注引用1"/>
    <w:qFormat/>
    <w:uiPriority w:val="0"/>
    <w:rPr>
      <w:sz w:val="21"/>
      <w:szCs w:val="21"/>
    </w:rPr>
  </w:style>
  <w:style w:type="character" w:customStyle="1" w:styleId="16">
    <w:name w:val="注释文本字符"/>
    <w:uiPriority w:val="0"/>
    <w:rPr>
      <w:rFonts w:ascii="Times New Roman" w:hAnsi="Times New Roman" w:eastAsia="宋体" w:cs="Times New Roman"/>
      <w:szCs w:val="24"/>
    </w:rPr>
  </w:style>
  <w:style w:type="character" w:customStyle="1" w:styleId="17">
    <w:name w:val="批注主题字符"/>
    <w:uiPriority w:val="0"/>
    <w:rPr>
      <w:rFonts w:ascii="Times New Roman" w:hAnsi="Times New Roman" w:eastAsia="宋体" w:cs="Times New Roman"/>
      <w:b/>
      <w:bCs/>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宋体"/>
        <a:cs typeface="Times New Roman"/>
      </a:majorFont>
      <a:minorFont>
        <a:latin typeface="Times New Roman"/>
        <a:ea typeface="宋体"/>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9</Pages>
  <Words>1249</Words>
  <Characters>7125</Characters>
  <Lines>59</Lines>
  <Paragraphs>16</Paragraphs>
  <TotalTime>6</TotalTime>
  <ScaleCrop>false</ScaleCrop>
  <LinksUpToDate>false</LinksUpToDate>
  <CharactersWithSpaces>8358</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2019-04-24T11:38:00Z</dcterms:created>
  <dc:creator>张瑞洁</dc:creator>
  <cp:lastModifiedBy>caesar10044</cp:lastModifiedBy>
  <cp:lastPrinted>2015-09-22T03:06:00Z</cp:lastPrinted>
  <dcterms:modified xsi:type="dcterms:W3CDTF">2019-04-25T09:02:42Z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