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教学设计打分表</w:t>
      </w:r>
    </w:p>
    <w:tbl>
      <w:tblPr>
        <w:tblStyle w:val="3"/>
        <w:tblW w:w="9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7004"/>
        <w:gridCol w:w="527"/>
        <w:gridCol w:w="5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7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评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价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内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容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6"/>
                <w:kern w:val="0"/>
                <w:sz w:val="24"/>
              </w:rPr>
              <w:t>分值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6"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学情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分析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针对学生实际，从知识基础和学生需求进行分析，分析符合学生年龄、心理特点；了解学生有关知识储备和生活经验。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理念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与目标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有明确的教学理念，且符合课改目标要求；目标符合课程标准，能体现三维目标，并具有可操作性。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内容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与方法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根据学科特点，准确列出知识点、重点、难点等；教学设计明确主要的教法、学法；突出重点、破解难点的方法科学有效。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方式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与手段</w:t>
            </w:r>
          </w:p>
        </w:tc>
        <w:tc>
          <w:tcPr>
            <w:tcW w:w="7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明确教具或媒体的运用方式；媒体使用有利于突破重点、难点和关键问题；板书简明、精要、重点突出，布局合理。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作业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与反馈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练习作业形式多样，份量与难度适中；有层次，选做与必做结合，课内与课外结合，注意发展学科实践活动课程。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研讨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与反思</w:t>
            </w:r>
          </w:p>
        </w:tc>
        <w:tc>
          <w:tcPr>
            <w:tcW w:w="7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能提出教学问题与同行开展研讨交流；对自己的教学进行总结反思，写出教学后记、反思小结或自我点评。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</w:tbl>
    <w:p>
      <w:pPr>
        <w:spacing w:before="156" w:beforeLines="50"/>
        <w:ind w:firstLine="640" w:firstLineChars="200"/>
        <w:rPr>
          <w:rFonts w:hint="eastAsia" w:ascii="Times New Roman" w:hAnsi="仿宋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F5"/>
    <w:rsid w:val="003C18F5"/>
    <w:rsid w:val="00A10477"/>
    <w:rsid w:val="00B94CAC"/>
    <w:rsid w:val="1B6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2017-11-28T00:52:00Z</dcterms:created>
  <dc:creator>赵长江</dc:creator>
  <cp:lastModifiedBy>赵长江</cp:lastModifiedBy>
  <cp:lastPrinted>2017-11-28T02:10:23Z</cp:lastPrinted>
  <dcterms:modified xsi:type="dcterms:W3CDTF">2017-11-28T02:10:25Z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